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D90BF" w14:textId="763D3B83" w:rsidR="008315A9" w:rsidRDefault="00414792">
      <w:pPr>
        <w:pStyle w:val="CRCoverPage"/>
        <w:tabs>
          <w:tab w:val="right" w:pos="9639"/>
        </w:tabs>
        <w:spacing w:after="0"/>
        <w:rPr>
          <w:b/>
          <w:i/>
          <w:sz w:val="22"/>
          <w:lang w:val="en-US"/>
        </w:rPr>
      </w:pPr>
      <w:bookmarkStart w:id="0" w:name="_Ref181904463"/>
      <w:r>
        <w:rPr>
          <w:b/>
          <w:sz w:val="22"/>
          <w:lang w:val="en-US"/>
        </w:rPr>
        <w:t>3GPP TSG-RAN WG2 #130</w:t>
      </w:r>
      <w:r>
        <w:rPr>
          <w:b/>
          <w:i/>
          <w:sz w:val="22"/>
          <w:lang w:val="en-US"/>
        </w:rPr>
        <w:tab/>
      </w:r>
      <w:r w:rsidR="00427101" w:rsidRPr="00427101">
        <w:rPr>
          <w:b/>
          <w:bCs/>
          <w:sz w:val="22"/>
          <w:lang w:val="en-US"/>
        </w:rPr>
        <w:t>R2-2505825</w:t>
      </w:r>
    </w:p>
    <w:p w14:paraId="3616DD9B" w14:textId="77777777" w:rsidR="008315A9" w:rsidRDefault="00414792">
      <w:pPr>
        <w:pStyle w:val="CRCoverPage"/>
        <w:outlineLvl w:val="0"/>
        <w:rPr>
          <w:b/>
          <w:sz w:val="22"/>
          <w:lang w:val="en-US"/>
        </w:rPr>
      </w:pPr>
      <w:r>
        <w:rPr>
          <w:b/>
          <w:sz w:val="22"/>
          <w:lang w:val="en-US"/>
        </w:rPr>
        <w:t>Bengaluru, India, August 25</w:t>
      </w:r>
      <w:r>
        <w:rPr>
          <w:b/>
          <w:sz w:val="22"/>
          <w:vertAlign w:val="superscript"/>
          <w:lang w:val="en-US"/>
        </w:rPr>
        <w:t>th</w:t>
      </w:r>
      <w:r>
        <w:rPr>
          <w:b/>
          <w:sz w:val="22"/>
          <w:lang w:val="en-US"/>
        </w:rPr>
        <w:t xml:space="preserve"> – 29</w:t>
      </w:r>
      <w:r>
        <w:rPr>
          <w:b/>
          <w:sz w:val="22"/>
          <w:vertAlign w:val="superscript"/>
          <w:lang w:val="en-US"/>
        </w:rPr>
        <w:t>th</w:t>
      </w:r>
      <w:r>
        <w:rPr>
          <w:b/>
          <w:sz w:val="22"/>
          <w:lang w:val="en-US"/>
        </w:rPr>
        <w:t>, 2025</w:t>
      </w:r>
    </w:p>
    <w:p w14:paraId="264064A4" w14:textId="77777777" w:rsidR="008315A9" w:rsidRDefault="008315A9">
      <w:pPr>
        <w:spacing w:after="60"/>
        <w:rPr>
          <w:rFonts w:eastAsia="DengXian" w:cs="Arial"/>
          <w:b/>
          <w:bCs/>
        </w:rPr>
      </w:pPr>
    </w:p>
    <w:bookmarkEnd w:id="0"/>
    <w:p w14:paraId="0F61BF8C" w14:textId="40CBEAD8" w:rsidR="008315A9" w:rsidRDefault="00414792">
      <w:pPr>
        <w:pStyle w:val="3GPPHeader"/>
        <w:rPr>
          <w:lang w:val="sv-SE"/>
        </w:rPr>
      </w:pPr>
      <w:r>
        <w:rPr>
          <w:lang w:val="sv-SE"/>
        </w:rPr>
        <w:t>Agenda Item:</w:t>
      </w:r>
      <w:r>
        <w:rPr>
          <w:lang w:val="sv-SE"/>
        </w:rPr>
        <w:tab/>
      </w:r>
      <w:r w:rsidR="00BC5A56">
        <w:rPr>
          <w:lang w:val="sv-SE"/>
        </w:rPr>
        <w:t>8.8.1</w:t>
      </w:r>
    </w:p>
    <w:p w14:paraId="33FE1AC7" w14:textId="77777777" w:rsidR="008315A9" w:rsidRDefault="00414792">
      <w:pPr>
        <w:pStyle w:val="3GPPHeader"/>
      </w:pPr>
      <w:r>
        <w:t>Source:</w:t>
      </w:r>
      <w:r>
        <w:tab/>
        <w:t>Ericsson</w:t>
      </w:r>
    </w:p>
    <w:p w14:paraId="3656119F" w14:textId="77777777" w:rsidR="008315A9" w:rsidRDefault="00414792">
      <w:pPr>
        <w:pStyle w:val="3GPPHeader"/>
        <w:rPr>
          <w:color w:val="000000"/>
        </w:rPr>
      </w:pPr>
      <w:r>
        <w:t>Title:</w:t>
      </w:r>
      <w:r>
        <w:tab/>
        <w:t>Remaining RRC open issues for NR NTN Rel-19</w:t>
      </w:r>
    </w:p>
    <w:p w14:paraId="1EEEC5A0" w14:textId="77777777" w:rsidR="008315A9" w:rsidRDefault="00414792">
      <w:pPr>
        <w:pStyle w:val="3GPPHeader"/>
      </w:pPr>
      <w:r>
        <w:t>Document for:</w:t>
      </w:r>
      <w:r>
        <w:tab/>
        <w:t>Discussion, Decision</w:t>
      </w:r>
    </w:p>
    <w:p w14:paraId="49203BD4" w14:textId="77777777" w:rsidR="008315A9" w:rsidRDefault="00414792">
      <w:pPr>
        <w:pStyle w:val="Heading1"/>
      </w:pPr>
      <w:r>
        <w:t>1</w:t>
      </w:r>
      <w:r>
        <w:tab/>
        <w:t>Introduction</w:t>
      </w:r>
    </w:p>
    <w:p w14:paraId="74A41066" w14:textId="77777777" w:rsidR="008315A9" w:rsidRDefault="00414792">
      <w:r>
        <w:t>The following document includes a list of open issues according to the following email discussion:</w:t>
      </w:r>
    </w:p>
    <w:p w14:paraId="551617D5" w14:textId="77777777" w:rsidR="008315A9" w:rsidRDefault="00414792">
      <w:pPr>
        <w:pStyle w:val="EmailDiscussion"/>
        <w:spacing w:line="240" w:lineRule="auto"/>
        <w:rPr>
          <w:rFonts w:eastAsia="Times New Roman" w:cs="Arial"/>
          <w:kern w:val="0"/>
          <w:sz w:val="20"/>
          <w:szCs w:val="20"/>
          <w:lang w:val="en-GB"/>
        </w:rPr>
      </w:pPr>
      <w:r>
        <w:rPr>
          <w:lang w:val="en-GB"/>
        </w:rPr>
        <w:t>[Post130][302][R19 NR NTN] RRC CR (Ericsson)</w:t>
      </w:r>
    </w:p>
    <w:p w14:paraId="4B9D2D1B" w14:textId="77777777" w:rsidR="008315A9" w:rsidRDefault="00414792">
      <w:pPr>
        <w:pStyle w:val="EmailDiscussion2"/>
        <w:rPr>
          <w:lang w:val="en-GB"/>
        </w:rPr>
      </w:pPr>
      <w:r>
        <w:rPr>
          <w:lang w:val="en-GB"/>
        </w:rPr>
        <w:t xml:space="preserve">      Scope: discuss the running RRC CR </w:t>
      </w:r>
    </w:p>
    <w:p w14:paraId="67D83FC5" w14:textId="77777777" w:rsidR="008315A9" w:rsidRDefault="00414792">
      <w:pPr>
        <w:pStyle w:val="EmailDiscussion2"/>
        <w:rPr>
          <w:lang w:val="en-GB"/>
        </w:rPr>
      </w:pPr>
      <w:r>
        <w:rPr>
          <w:lang w:val="en-GB"/>
        </w:rPr>
        <w:t>      Intended outcome: Endorsed CR and list of remaining open issues</w:t>
      </w:r>
    </w:p>
    <w:p w14:paraId="6E135609" w14:textId="77777777" w:rsidR="008315A9" w:rsidRDefault="00414792">
      <w:pPr>
        <w:pStyle w:val="EmailDiscussion2"/>
        <w:rPr>
          <w:lang w:val="en-GB"/>
        </w:rPr>
      </w:pPr>
      <w:r>
        <w:rPr>
          <w:lang w:val="en-GB"/>
        </w:rPr>
        <w:t>      Deadline: long</w:t>
      </w:r>
    </w:p>
    <w:p w14:paraId="76D87F91" w14:textId="77777777" w:rsidR="008315A9" w:rsidRDefault="008315A9"/>
    <w:p w14:paraId="6AA2D7E2" w14:textId="77777777" w:rsidR="008315A9" w:rsidRDefault="00414792">
      <w:pPr>
        <w:rPr>
          <w:b/>
          <w:bCs/>
          <w:color w:val="FF0000"/>
        </w:rPr>
      </w:pPr>
      <w:r>
        <w:t>Companies are invited to provide feedback on open issue list by:</w:t>
      </w:r>
      <w:r>
        <w:rPr>
          <w:b/>
          <w:bCs/>
          <w:color w:val="FF0000"/>
        </w:rPr>
        <w:t xml:space="preserve"> Aug 8th 08:00 UTC 2025</w:t>
      </w:r>
    </w:p>
    <w:p w14:paraId="0440DCD6" w14:textId="77777777" w:rsidR="008315A9" w:rsidRDefault="00414792">
      <w:pPr>
        <w:pStyle w:val="Heading1"/>
      </w:pPr>
      <w:r>
        <w:t>2</w:t>
      </w:r>
      <w:r>
        <w:tab/>
        <w:t>Remaining open issues for specification TS 38.331</w:t>
      </w:r>
    </w:p>
    <w:p w14:paraId="4764A827" w14:textId="77777777" w:rsidR="008315A9" w:rsidRDefault="00414792">
      <w:pPr>
        <w:pStyle w:val="Heading3"/>
      </w:pPr>
      <w:r>
        <w:t>DL coverage enhancements</w:t>
      </w:r>
    </w:p>
    <w:p w14:paraId="7B93B2A9" w14:textId="77777777" w:rsidR="008315A9" w:rsidRDefault="00414792">
      <w:pPr>
        <w:rPr>
          <w:b/>
          <w:bCs/>
          <w:u w:val="single"/>
          <w:lang w:eastAsia="sv-SE"/>
        </w:rPr>
      </w:pPr>
      <w:r>
        <w:rPr>
          <w:b/>
          <w:bCs/>
          <w:u w:val="single"/>
          <w:lang w:eastAsia="sv-SE"/>
        </w:rPr>
        <w:t>Configuration of 6 SMTC offsets (and periodicities)</w:t>
      </w:r>
    </w:p>
    <w:p w14:paraId="6C39FD12" w14:textId="77777777" w:rsidR="008315A9" w:rsidRDefault="00414792">
      <w:pPr>
        <w:rPr>
          <w:lang w:eastAsia="sv-SE"/>
        </w:rPr>
      </w:pPr>
      <w:r>
        <w:rPr>
          <w:lang w:eastAsia="sv-SE"/>
        </w:rPr>
        <w:t>According to the following RAN2 agreements, the network can configure in system information up to 6 SMTCs of which the UE will select a number based on its capabilities:</w:t>
      </w:r>
    </w:p>
    <w:p w14:paraId="07AE892A" w14:textId="77777777" w:rsidR="008315A9" w:rsidRDefault="00414792">
      <w:pPr>
        <w:pStyle w:val="ListParagraph"/>
        <w:numPr>
          <w:ilvl w:val="0"/>
          <w:numId w:val="6"/>
        </w:numPr>
        <w:rPr>
          <w:lang w:eastAsia="sv-SE"/>
        </w:rPr>
      </w:pPr>
      <w:r>
        <w:rPr>
          <w:lang w:eastAsia="sv-SE"/>
        </w:rPr>
        <w:t>We introduce support for SMTC enhancements in idle/inactive mode in a backwards compatible manner. FFS signalling details (e.g., new field or extension of SMTC4).</w:t>
      </w:r>
    </w:p>
    <w:p w14:paraId="4DD0B9D8" w14:textId="77777777" w:rsidR="008315A9" w:rsidRDefault="00414792">
      <w:pPr>
        <w:pStyle w:val="ListParagraph"/>
        <w:numPr>
          <w:ilvl w:val="0"/>
          <w:numId w:val="6"/>
        </w:numPr>
        <w:rPr>
          <w:lang w:eastAsia="sv-SE"/>
        </w:rPr>
      </w:pPr>
      <w:r>
        <w:rPr>
          <w:lang w:eastAsia="sv-SE"/>
        </w:rPr>
        <w:t>Introduce a new SMTC list instead of extending legacy smtc4list (can consider signalling optimizations for the new list to refer to the content of smtc4list to avoid signalling duplications)</w:t>
      </w:r>
    </w:p>
    <w:p w14:paraId="5B76660A" w14:textId="77777777" w:rsidR="008315A9" w:rsidRDefault="00414792">
      <w:pPr>
        <w:rPr>
          <w:lang w:eastAsia="sv-SE"/>
        </w:rPr>
      </w:pPr>
      <w:r>
        <w:rPr>
          <w:lang w:eastAsia="sv-SE"/>
        </w:rPr>
        <w:t>Provided the change should be introduced in a backwards compatible manner, i.e., the network may be able to configure SMTC4, the rapporteur has suggested two lists:</w:t>
      </w:r>
    </w:p>
    <w:p w14:paraId="68356DEA" w14:textId="77777777" w:rsidR="008315A9" w:rsidRDefault="00414792">
      <w:pPr>
        <w:pStyle w:val="ListParagraph"/>
        <w:numPr>
          <w:ilvl w:val="0"/>
          <w:numId w:val="7"/>
        </w:numPr>
        <w:rPr>
          <w:lang w:eastAsia="sv-SE"/>
        </w:rPr>
      </w:pPr>
      <w:r>
        <w:rPr>
          <w:lang w:eastAsia="sv-SE"/>
        </w:rPr>
        <w:t>The new SMTC5 list allows the network to configure from scratch periodicity and offsets.</w:t>
      </w:r>
    </w:p>
    <w:p w14:paraId="64C69381" w14:textId="77777777" w:rsidR="008315A9" w:rsidRDefault="00414792">
      <w:pPr>
        <w:pStyle w:val="ListParagraph"/>
        <w:numPr>
          <w:ilvl w:val="0"/>
          <w:numId w:val="7"/>
        </w:numPr>
        <w:rPr>
          <w:lang w:eastAsia="sv-SE"/>
        </w:rPr>
      </w:pPr>
      <w:r>
        <w:rPr>
          <w:lang w:eastAsia="sv-SE"/>
        </w:rPr>
        <w:t>The extension of SMTC4 list allows the network to add an additional periodicity to an offset in the original SMTC4 list, which can override the default SMTC periodicity.</w:t>
      </w:r>
    </w:p>
    <w:p w14:paraId="3115B27A" w14:textId="4159DB7A" w:rsidR="008315A9" w:rsidRDefault="00414792">
      <w:pPr>
        <w:rPr>
          <w:lang w:eastAsia="sv-SE"/>
        </w:rPr>
      </w:pPr>
      <w:r>
        <w:rPr>
          <w:lang w:eastAsia="sv-SE"/>
        </w:rPr>
        <w:lastRenderedPageBreak/>
        <w:t>This proposal is better explained with a scenario. For example, in the scenario with two cells, one with SSB periodicity of 20 ms (cell 1) and another with 160ms (cell 2), the network should configure the default SMTC periodicity with the largest periodicity, 160 ms, following RAN4 requirements. In addition, the new SMTC4 extended list allows the network to indicate Release 19 UE that</w:t>
      </w:r>
      <w:proofErr w:type="gramStart"/>
      <w:r>
        <w:rPr>
          <w:lang w:eastAsia="sv-SE"/>
        </w:rPr>
        <w:t>, in reality, there</w:t>
      </w:r>
      <w:proofErr w:type="gramEnd"/>
      <w:r>
        <w:rPr>
          <w:lang w:eastAsia="sv-SE"/>
        </w:rPr>
        <w:t xml:space="preserve"> is an offset (corresponding to cell 1) that has a different periodicity than the default SMTC periodicity. The periodicity in the extended SMTC4 list overrides the default periodicity. In this way, a legacy UE will measure cell 1 every 160ms since it will not understand the new signalling, but a Release 19 UE can effectively measure cell 1 every 20 ms.</w:t>
      </w:r>
    </w:p>
    <w:p w14:paraId="286CBA67" w14:textId="77777777" w:rsidR="008315A9" w:rsidRDefault="00414792">
      <w:pPr>
        <w:pStyle w:val="PL"/>
        <w:rPr>
          <w:color w:val="808080"/>
        </w:rPr>
      </w:pPr>
      <w:r>
        <w:t xml:space="preserve">        smtc4list-v19xy                     SSB-MTC4List-v19xy                              </w:t>
      </w:r>
      <w:r>
        <w:rPr>
          <w:color w:val="993366"/>
        </w:rPr>
        <w:t>OPTIONAL</w:t>
      </w:r>
      <w:r>
        <w:t xml:space="preserve">,        </w:t>
      </w:r>
      <w:r>
        <w:rPr>
          <w:color w:val="808080"/>
        </w:rPr>
        <w:t>-- Need R</w:t>
      </w:r>
    </w:p>
    <w:p w14:paraId="6E37D137" w14:textId="77777777" w:rsidR="008315A9" w:rsidRDefault="00414792">
      <w:pPr>
        <w:pStyle w:val="PL"/>
        <w:rPr>
          <w:color w:val="808080"/>
        </w:rPr>
      </w:pPr>
      <w:r>
        <w:t xml:space="preserve">        smtc5list-r19                       SSB-MTC5List-r19                                </w:t>
      </w:r>
      <w:r>
        <w:rPr>
          <w:color w:val="993366"/>
        </w:rPr>
        <w:t>OPTIONAL</w:t>
      </w:r>
      <w:r>
        <w:t xml:space="preserve">,        </w:t>
      </w:r>
      <w:r>
        <w:rPr>
          <w:color w:val="808080"/>
        </w:rPr>
        <w:t>-- Need R</w:t>
      </w:r>
    </w:p>
    <w:p w14:paraId="6E6215FA" w14:textId="77777777" w:rsidR="008315A9" w:rsidRDefault="008315A9">
      <w:pPr>
        <w:rPr>
          <w:b/>
          <w:bCs/>
          <w:u w:val="single"/>
          <w:lang w:eastAsia="sv-SE"/>
        </w:rPr>
      </w:pPr>
    </w:p>
    <w:p w14:paraId="43F20058" w14:textId="77777777" w:rsidR="008315A9" w:rsidRDefault="00414792">
      <w:pPr>
        <w:pStyle w:val="PL"/>
      </w:pPr>
      <w:r>
        <w:t xml:space="preserve">SSB-MTC4-v19xy ::=           </w:t>
      </w:r>
      <w:r>
        <w:rPr>
          <w:color w:val="993366"/>
        </w:rPr>
        <w:t>SEQUENCE</w:t>
      </w:r>
      <w:r>
        <w:t xml:space="preserve"> {</w:t>
      </w:r>
    </w:p>
    <w:p w14:paraId="360418CB" w14:textId="77777777" w:rsidR="008315A9" w:rsidRDefault="00414792">
      <w:pPr>
        <w:pStyle w:val="PL"/>
      </w:pPr>
      <w:r>
        <w:t xml:space="preserve">    periodicity-r19              </w:t>
      </w:r>
      <w:r>
        <w:rPr>
          <w:color w:val="993366"/>
        </w:rPr>
        <w:t>ENUMERATED</w:t>
      </w:r>
      <w:r>
        <w:t xml:space="preserve"> {sf10, sf20, sf40, sf80, sf160}</w:t>
      </w:r>
    </w:p>
    <w:p w14:paraId="56380201" w14:textId="77777777" w:rsidR="008315A9" w:rsidRDefault="00414792">
      <w:pPr>
        <w:pStyle w:val="PL"/>
      </w:pPr>
      <w:r>
        <w:t>}</w:t>
      </w:r>
    </w:p>
    <w:p w14:paraId="3DB1CD89" w14:textId="77777777" w:rsidR="008315A9" w:rsidRDefault="008315A9"/>
    <w:p w14:paraId="6926CD32" w14:textId="77777777" w:rsidR="008315A9" w:rsidRDefault="00414792">
      <w:pPr>
        <w:pStyle w:val="PL"/>
      </w:pPr>
      <w:r>
        <w:t xml:space="preserve">SSB-MTC5-r19 ::=             </w:t>
      </w:r>
      <w:r>
        <w:rPr>
          <w:color w:val="993366"/>
        </w:rPr>
        <w:t>SEQUENCE</w:t>
      </w:r>
      <w:r>
        <w:t xml:space="preserve"> {</w:t>
      </w:r>
    </w:p>
    <w:p w14:paraId="109ADB7F" w14:textId="77777777" w:rsidR="008315A9" w:rsidRDefault="00414792">
      <w:pPr>
        <w:pStyle w:val="PL"/>
        <w:rPr>
          <w:color w:val="808080"/>
        </w:rPr>
      </w:pPr>
      <w:r>
        <w:t xml:space="preserve">    pci-List-r19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M</w:t>
      </w:r>
    </w:p>
    <w:p w14:paraId="1FE352EF" w14:textId="77777777" w:rsidR="008315A9" w:rsidRDefault="00414792">
      <w:pPr>
        <w:pStyle w:val="PL"/>
      </w:pPr>
      <w:r>
        <w:t xml:space="preserve">    periodicity-r19              </w:t>
      </w:r>
      <w:r>
        <w:rPr>
          <w:color w:val="993366"/>
        </w:rPr>
        <w:t>ENUMERATED</w:t>
      </w:r>
      <w:r>
        <w:t xml:space="preserve"> {sf10, sf20, sf40, sf80, sf160}</w:t>
      </w:r>
    </w:p>
    <w:p w14:paraId="6EF14C59" w14:textId="77777777" w:rsidR="008315A9" w:rsidRDefault="00414792">
      <w:pPr>
        <w:pStyle w:val="PL"/>
      </w:pPr>
      <w:r>
        <w:t xml:space="preserve">    offset-r19                   </w:t>
      </w:r>
      <w:r>
        <w:rPr>
          <w:color w:val="993366"/>
        </w:rPr>
        <w:t>INTEGER</w:t>
      </w:r>
      <w:r>
        <w:t xml:space="preserve"> (0..159)</w:t>
      </w:r>
    </w:p>
    <w:p w14:paraId="3A0AF502" w14:textId="77777777" w:rsidR="008315A9" w:rsidRDefault="008315A9">
      <w:pPr>
        <w:rPr>
          <w:lang w:eastAsia="sv-SE"/>
        </w:rPr>
      </w:pPr>
    </w:p>
    <w:p w14:paraId="51661F2C" w14:textId="77777777" w:rsidR="008315A9" w:rsidRDefault="00414792">
      <w:pPr>
        <w:rPr>
          <w:lang w:eastAsia="sv-SE"/>
        </w:rPr>
      </w:pPr>
      <w:r>
        <w:rPr>
          <w:lang w:eastAsia="sv-SE"/>
        </w:rPr>
        <w:t xml:space="preserve">Some companies have proposed another alternative using delta configuration. The rapporteur notes that the delta is only needed for those STMCs which are defined in the SMTC4 list which has a limited size of 3. If we </w:t>
      </w:r>
      <w:proofErr w:type="gramStart"/>
      <w:r>
        <w:rPr>
          <w:lang w:eastAsia="sv-SE"/>
        </w:rPr>
        <w:t>disregarding</w:t>
      </w:r>
      <w:proofErr w:type="gramEnd"/>
      <w:r>
        <w:rPr>
          <w:lang w:eastAsia="sv-SE"/>
        </w:rPr>
        <w:t xml:space="preserve"> the SMTC for the serving cell (default SMTC), then the other new 2 SMTCs can be in a new list as already agreed. In conclusion, provided the confirmation of multiple periodicties per frequency layer requires RAN2 discussion of the RAN4 LS, the rapporteur encourages companies to take this implementation as a baseline and bring concrete Text Proposals to the next meeting.</w:t>
      </w:r>
    </w:p>
    <w:p w14:paraId="55C6C5D5" w14:textId="77777777" w:rsidR="008315A9" w:rsidRDefault="008315A9">
      <w:pPr>
        <w:rPr>
          <w:lang w:eastAsia="sv-SE"/>
        </w:rPr>
      </w:pPr>
    </w:p>
    <w:p w14:paraId="45A056F8" w14:textId="77777777" w:rsidR="008315A9" w:rsidRDefault="00414792">
      <w:pPr>
        <w:pStyle w:val="Proposal"/>
        <w:rPr>
          <w:lang w:eastAsia="sv-SE"/>
        </w:rPr>
      </w:pPr>
      <w:r>
        <w:rPr>
          <w:lang w:eastAsia="sv-SE"/>
        </w:rPr>
        <w:t>FFS Stage 3 impact of the limit of maximum 2 SMTC periodicities per frequency layer and the configuration of 6 SMTC offsets per frequency. Companies are invited to bring concrete text proposals.</w:t>
      </w:r>
    </w:p>
    <w:p w14:paraId="333532B9" w14:textId="77777777" w:rsidR="008315A9" w:rsidRDefault="008315A9">
      <w:pPr>
        <w:rPr>
          <w:lang w:eastAsia="sv-SE"/>
        </w:rPr>
      </w:pPr>
    </w:p>
    <w:p w14:paraId="1AE7B9C0" w14:textId="77777777" w:rsidR="008315A9" w:rsidRDefault="00414792">
      <w:pPr>
        <w:rPr>
          <w:b/>
          <w:bCs/>
          <w:u w:val="single"/>
          <w:lang w:eastAsia="sv-SE"/>
        </w:rPr>
      </w:pPr>
      <w:r>
        <w:rPr>
          <w:b/>
          <w:bCs/>
          <w:u w:val="single"/>
          <w:lang w:eastAsia="sv-SE"/>
        </w:rPr>
        <w:t>Clarification on the size of the lists</w:t>
      </w:r>
    </w:p>
    <w:p w14:paraId="46CDCCB9" w14:textId="465D83E3" w:rsidR="008315A9" w:rsidRDefault="00414792">
      <w:r>
        <w:lastRenderedPageBreak/>
        <w:t>The rapporteur included different sizes for the extension of SMTC4 list and the new SMTC5 list and this has generated confusion. Here is an explanation. RAN2 agreed to support the configuration of 6 SMTCs in total. If we consider only intra-frequency neighbours, the first SMTC corresponds always to the serving cell and should be captured with the Rel-15 SMTC par</w:t>
      </w:r>
      <w:r w:rsidR="004115D9">
        <w:t>a</w:t>
      </w:r>
      <w:r>
        <w:t>meter. In Release 17, 3 additional SMTCs were included for NTN within STMC4 list. Therefore, the size of SMTC5 list depends on the configuration of SMTC4 list, i.e., whether the network wants to support legacy UEs. Provided Rel-15 SMTC is configured, if SMTC4 list is not configured, the network can configure up to 5 additional SMTCs. If SMTC4 list is configured, then the size of SMTC5 list is equal to 5 minus the size of SMTC4. In this way, the total number of configured SMTCs never exceeds 6.</w:t>
      </w:r>
    </w:p>
    <w:p w14:paraId="6033A41B" w14:textId="77777777" w:rsidR="008315A9" w:rsidRDefault="008315A9"/>
    <w:p w14:paraId="382B83EA" w14:textId="77777777" w:rsidR="008315A9" w:rsidRDefault="00414792">
      <w:pPr>
        <w:pStyle w:val="PL"/>
      </w:pPr>
      <w:r>
        <w:t xml:space="preserve">SSB-MTC4List-v19xy::=               </w:t>
      </w:r>
      <w:r>
        <w:rPr>
          <w:color w:val="993366"/>
        </w:rPr>
        <w:t>SEQUENCE</w:t>
      </w:r>
      <w:r>
        <w:t xml:space="preserve"> (</w:t>
      </w:r>
      <w:r>
        <w:rPr>
          <w:color w:val="993366"/>
        </w:rPr>
        <w:t>SIZE</w:t>
      </w:r>
      <w:r>
        <w:t>(1..3))</w:t>
      </w:r>
      <w:r>
        <w:rPr>
          <w:color w:val="993366"/>
        </w:rPr>
        <w:t xml:space="preserve"> OF</w:t>
      </w:r>
      <w:r>
        <w:t xml:space="preserve"> SSB-MTC4-v19xy</w:t>
      </w:r>
    </w:p>
    <w:p w14:paraId="78707541" w14:textId="77777777" w:rsidR="008315A9" w:rsidRDefault="00414792">
      <w:pPr>
        <w:pStyle w:val="PL"/>
      </w:pPr>
      <w:r>
        <w:t xml:space="preserve">SSB-MTC5List-r19::=                 </w:t>
      </w:r>
      <w:r>
        <w:rPr>
          <w:color w:val="993366"/>
        </w:rPr>
        <w:t>SEQUENCE</w:t>
      </w:r>
      <w:r>
        <w:t xml:space="preserve"> (</w:t>
      </w:r>
      <w:r>
        <w:rPr>
          <w:color w:val="993366"/>
        </w:rPr>
        <w:t>SIZE</w:t>
      </w:r>
      <w:r>
        <w:t>(1..5))</w:t>
      </w:r>
      <w:r>
        <w:rPr>
          <w:color w:val="993366"/>
        </w:rPr>
        <w:t xml:space="preserve"> OF</w:t>
      </w:r>
      <w:r>
        <w:t xml:space="preserve"> SSB-MTC5-r19</w:t>
      </w:r>
    </w:p>
    <w:p w14:paraId="0D4F493C" w14:textId="77777777" w:rsidR="008315A9" w:rsidRDefault="008315A9">
      <w:pPr>
        <w:rPr>
          <w:lang w:eastAsia="sv-SE"/>
        </w:rPr>
      </w:pPr>
    </w:p>
    <w:p w14:paraId="35B937C6" w14:textId="77777777" w:rsidR="008315A9" w:rsidRDefault="00414792">
      <w:pPr>
        <w:pStyle w:val="Proposal"/>
        <w:rPr>
          <w:lang w:eastAsia="sv-SE"/>
        </w:rPr>
      </w:pPr>
      <w:r>
        <w:rPr>
          <w:lang w:eastAsia="sv-SE"/>
        </w:rPr>
        <w:t>Question 1: companies are invited to comment whether SMTC5 list can be configured independently, thus having a maximum size of 5, or always need to be configured with SMTC4 list and SMTC4 extension list, thus having a maximum size of 2.</w:t>
      </w:r>
    </w:p>
    <w:tbl>
      <w:tblPr>
        <w:tblStyle w:val="TableGrid"/>
        <w:tblW w:w="0" w:type="auto"/>
        <w:tblLook w:val="04A0" w:firstRow="1" w:lastRow="0" w:firstColumn="1" w:lastColumn="0" w:noHBand="0" w:noVBand="1"/>
      </w:tblPr>
      <w:tblGrid>
        <w:gridCol w:w="1615"/>
        <w:gridCol w:w="1244"/>
        <w:gridCol w:w="6844"/>
      </w:tblGrid>
      <w:tr w:rsidR="008315A9" w14:paraId="01B09B3B" w14:textId="77777777">
        <w:tc>
          <w:tcPr>
            <w:tcW w:w="1615" w:type="dxa"/>
            <w:shd w:val="clear" w:color="auto" w:fill="E7E6E6" w:themeFill="background2"/>
            <w:vAlign w:val="center"/>
          </w:tcPr>
          <w:p w14:paraId="1D9D6A84" w14:textId="77777777" w:rsidR="008315A9" w:rsidRDefault="00414792">
            <w:pPr>
              <w:jc w:val="center"/>
              <w:rPr>
                <w:rFonts w:eastAsia="Calibri"/>
                <w:b/>
                <w:bCs/>
                <w:lang w:eastAsia="sv-SE"/>
              </w:rPr>
            </w:pPr>
            <w:r>
              <w:rPr>
                <w:rFonts w:eastAsia="Calibri"/>
                <w:b/>
                <w:bCs/>
                <w:lang w:eastAsia="sv-SE"/>
              </w:rPr>
              <w:t>Company</w:t>
            </w:r>
          </w:p>
        </w:tc>
        <w:tc>
          <w:tcPr>
            <w:tcW w:w="1170" w:type="dxa"/>
            <w:shd w:val="clear" w:color="auto" w:fill="E7E6E6" w:themeFill="background2"/>
            <w:vAlign w:val="center"/>
          </w:tcPr>
          <w:p w14:paraId="3B0C1DA6" w14:textId="77777777" w:rsidR="008315A9" w:rsidRDefault="00414792">
            <w:pPr>
              <w:jc w:val="center"/>
              <w:rPr>
                <w:rFonts w:eastAsia="Calibri"/>
                <w:b/>
                <w:bCs/>
                <w:lang w:eastAsia="sv-SE"/>
              </w:rPr>
            </w:pPr>
            <w:r>
              <w:rPr>
                <w:rFonts w:eastAsia="Calibri"/>
                <w:b/>
                <w:bCs/>
                <w:lang w:eastAsia="sv-SE"/>
              </w:rPr>
              <w:t>Yes/No</w:t>
            </w:r>
          </w:p>
        </w:tc>
        <w:tc>
          <w:tcPr>
            <w:tcW w:w="6844" w:type="dxa"/>
            <w:shd w:val="clear" w:color="auto" w:fill="E7E6E6" w:themeFill="background2"/>
            <w:vAlign w:val="center"/>
          </w:tcPr>
          <w:p w14:paraId="5ADA3F05" w14:textId="77777777" w:rsidR="008315A9" w:rsidRDefault="00414792">
            <w:pPr>
              <w:jc w:val="center"/>
              <w:rPr>
                <w:rFonts w:eastAsia="Calibri"/>
                <w:b/>
                <w:bCs/>
                <w:lang w:eastAsia="sv-SE"/>
              </w:rPr>
            </w:pPr>
            <w:r>
              <w:rPr>
                <w:rFonts w:eastAsia="Calibri"/>
                <w:b/>
                <w:bCs/>
                <w:lang w:eastAsia="sv-SE"/>
              </w:rPr>
              <w:t>Comments</w:t>
            </w:r>
          </w:p>
        </w:tc>
      </w:tr>
      <w:tr w:rsidR="008315A9" w14:paraId="6A7C8BCF" w14:textId="77777777">
        <w:tc>
          <w:tcPr>
            <w:tcW w:w="1615" w:type="dxa"/>
            <w:vAlign w:val="center"/>
          </w:tcPr>
          <w:p w14:paraId="6F3FD5F0" w14:textId="77777777" w:rsidR="008315A9" w:rsidRDefault="00414792">
            <w:pPr>
              <w:jc w:val="center"/>
              <w:rPr>
                <w:rFonts w:eastAsia="Calibri"/>
              </w:rPr>
            </w:pPr>
            <w:r>
              <w:rPr>
                <w:rFonts w:eastAsia="Calibri"/>
              </w:rPr>
              <w:t>Qualcomm</w:t>
            </w:r>
          </w:p>
        </w:tc>
        <w:tc>
          <w:tcPr>
            <w:tcW w:w="1170" w:type="dxa"/>
            <w:vAlign w:val="center"/>
          </w:tcPr>
          <w:p w14:paraId="7EFF382B" w14:textId="77777777" w:rsidR="008315A9" w:rsidRDefault="00414792">
            <w:pPr>
              <w:jc w:val="center"/>
              <w:rPr>
                <w:rFonts w:eastAsia="Calibri"/>
              </w:rPr>
            </w:pPr>
            <w:r>
              <w:rPr>
                <w:rFonts w:eastAsia="Calibri"/>
              </w:rPr>
              <w:t>See comments</w:t>
            </w:r>
          </w:p>
        </w:tc>
        <w:tc>
          <w:tcPr>
            <w:tcW w:w="6844" w:type="dxa"/>
            <w:vAlign w:val="center"/>
          </w:tcPr>
          <w:p w14:paraId="201AD49E" w14:textId="77777777" w:rsidR="008315A9" w:rsidRDefault="00414792">
            <w:pPr>
              <w:rPr>
                <w:rFonts w:eastAsia="Calibri"/>
              </w:rPr>
            </w:pPr>
            <w:r>
              <w:rPr>
                <w:rFonts w:eastAsia="Calibri"/>
              </w:rPr>
              <w:t>Lets forget periodicity now.</w:t>
            </w:r>
          </w:p>
          <w:p w14:paraId="405B62C7" w14:textId="77777777" w:rsidR="008315A9" w:rsidRDefault="00414792">
            <w:pPr>
              <w:rPr>
                <w:rFonts w:eastAsia="Calibri"/>
              </w:rPr>
            </w:pPr>
            <w:r>
              <w:rPr>
                <w:rFonts w:eastAsia="Calibri"/>
              </w:rPr>
              <w:t>Old UEs use SMTC4 list. New UEs use SMTC5 list. So from index 1 to 3, the    pci-List and offset values are repeated (same) in both SMTC4 and SMTC5 (it must be same). But we agreed optimization with delta signaling could be considered.</w:t>
            </w:r>
          </w:p>
          <w:p w14:paraId="0CE93AAC" w14:textId="77777777" w:rsidR="008315A9" w:rsidRDefault="00414792">
            <w:pPr>
              <w:rPr>
                <w:rFonts w:eastAsia="Calibri"/>
              </w:rPr>
            </w:pPr>
            <w:r>
              <w:rPr>
                <w:rFonts w:eastAsia="Calibri"/>
              </w:rPr>
              <w:t>This means the pci-List and offset in SMTC5 can be optional. If absent for index 1 to 3, the new UEs use the pci-List and offset from SMTC4.</w:t>
            </w:r>
          </w:p>
        </w:tc>
      </w:tr>
      <w:tr w:rsidR="008315A9" w14:paraId="28D0DDCC" w14:textId="77777777">
        <w:tc>
          <w:tcPr>
            <w:tcW w:w="1615" w:type="dxa"/>
            <w:vAlign w:val="center"/>
          </w:tcPr>
          <w:p w14:paraId="470C6E4C" w14:textId="77777777" w:rsidR="008315A9" w:rsidRDefault="00414792">
            <w:pPr>
              <w:jc w:val="center"/>
              <w:rPr>
                <w:rFonts w:eastAsia="SimSun"/>
              </w:rPr>
            </w:pPr>
            <w:r>
              <w:rPr>
                <w:rFonts w:eastAsia="SimSun" w:hint="eastAsia"/>
                <w:lang w:val="en-US" w:eastAsia="zh-CN"/>
              </w:rPr>
              <w:t>ZTE</w:t>
            </w:r>
          </w:p>
        </w:tc>
        <w:tc>
          <w:tcPr>
            <w:tcW w:w="1170" w:type="dxa"/>
            <w:vAlign w:val="center"/>
          </w:tcPr>
          <w:p w14:paraId="42F03B3E" w14:textId="77777777" w:rsidR="008315A9" w:rsidRDefault="00414792">
            <w:pPr>
              <w:jc w:val="center"/>
              <w:rPr>
                <w:rFonts w:eastAsia="SimSun"/>
              </w:rPr>
            </w:pPr>
            <w:r>
              <w:rPr>
                <w:rFonts w:eastAsia="SimSun" w:hint="eastAsia"/>
                <w:lang w:val="en-US" w:eastAsia="zh-CN"/>
              </w:rPr>
              <w:t>See comments</w:t>
            </w:r>
          </w:p>
        </w:tc>
        <w:tc>
          <w:tcPr>
            <w:tcW w:w="6844" w:type="dxa"/>
            <w:vAlign w:val="center"/>
          </w:tcPr>
          <w:p w14:paraId="151D8701" w14:textId="77777777" w:rsidR="008315A9" w:rsidRDefault="00414792">
            <w:pPr>
              <w:rPr>
                <w:rFonts w:eastAsia="SimSun"/>
              </w:rPr>
            </w:pPr>
            <w:r>
              <w:rPr>
                <w:rFonts w:eastAsia="SimSun" w:hint="eastAsia"/>
                <w:lang w:val="en-US" w:eastAsia="zh-CN"/>
              </w:rPr>
              <w:t>In our understanding smtc5 list is independently configured from smtc4 list. legacy UEs only read smtc4 list while R19 UEs supporting extended SMTC number will follow SMTC5list configuration.</w:t>
            </w:r>
          </w:p>
        </w:tc>
      </w:tr>
      <w:tr w:rsidR="008315A9" w14:paraId="3E456E69" w14:textId="77777777">
        <w:tc>
          <w:tcPr>
            <w:tcW w:w="1615" w:type="dxa"/>
            <w:vAlign w:val="center"/>
          </w:tcPr>
          <w:p w14:paraId="6FD9A9EE" w14:textId="77777777" w:rsidR="008315A9" w:rsidRDefault="00414792">
            <w:pPr>
              <w:jc w:val="center"/>
              <w:rPr>
                <w:rFonts w:eastAsia="Calibri"/>
              </w:rPr>
            </w:pPr>
            <w:r>
              <w:rPr>
                <w:rFonts w:eastAsia="Calibri"/>
              </w:rPr>
              <w:t>vivo</w:t>
            </w:r>
          </w:p>
        </w:tc>
        <w:tc>
          <w:tcPr>
            <w:tcW w:w="1170" w:type="dxa"/>
            <w:vAlign w:val="center"/>
          </w:tcPr>
          <w:p w14:paraId="0C5912F7" w14:textId="77777777" w:rsidR="008315A9" w:rsidRDefault="008315A9">
            <w:pPr>
              <w:jc w:val="center"/>
            </w:pPr>
          </w:p>
        </w:tc>
        <w:tc>
          <w:tcPr>
            <w:tcW w:w="6844" w:type="dxa"/>
            <w:vAlign w:val="center"/>
          </w:tcPr>
          <w:p w14:paraId="503938D0" w14:textId="77777777" w:rsidR="008315A9" w:rsidRDefault="00414792">
            <w:pPr>
              <w:rPr>
                <w:rFonts w:eastAsia="Calibri"/>
              </w:rPr>
            </w:pPr>
            <w:r>
              <w:rPr>
                <w:rFonts w:eastAsia="Calibri"/>
              </w:rPr>
              <w:t>A new SMTC5 list of max size 5 should be adopted, as per agreement that “</w:t>
            </w:r>
            <w:r>
              <w:rPr>
                <w:rFonts w:eastAsia="Calibri"/>
                <w:i/>
                <w:lang w:val="en-US"/>
              </w:rPr>
              <w:t>To support SMTC enhancements for DL CE UE, introduce a new SMTC list instead of extending legacy smtc4list</w:t>
            </w:r>
            <w:r>
              <w:rPr>
                <w:rFonts w:eastAsia="Calibri"/>
                <w:lang w:val="en-US"/>
              </w:rPr>
              <w:t>”. The SMTC5 list is independently configured.</w:t>
            </w:r>
          </w:p>
        </w:tc>
      </w:tr>
      <w:tr w:rsidR="008315A9" w14:paraId="4888F9A0" w14:textId="77777777">
        <w:tc>
          <w:tcPr>
            <w:tcW w:w="1615" w:type="dxa"/>
            <w:shd w:val="clear" w:color="auto" w:fill="auto"/>
            <w:vAlign w:val="center"/>
          </w:tcPr>
          <w:p w14:paraId="08A98CBD" w14:textId="77777777" w:rsidR="008315A9" w:rsidRDefault="00414792">
            <w:pPr>
              <w:jc w:val="center"/>
              <w:rPr>
                <w:rFonts w:eastAsia="SimSun"/>
              </w:rPr>
            </w:pPr>
            <w:r>
              <w:rPr>
                <w:rFonts w:eastAsia="SimSun" w:hint="eastAsia"/>
                <w:lang w:val="en-US" w:eastAsia="zh-CN"/>
              </w:rPr>
              <w:t>CMCC</w:t>
            </w:r>
          </w:p>
        </w:tc>
        <w:tc>
          <w:tcPr>
            <w:tcW w:w="1170" w:type="dxa"/>
            <w:shd w:val="clear" w:color="auto" w:fill="auto"/>
            <w:vAlign w:val="center"/>
          </w:tcPr>
          <w:p w14:paraId="6B88D2EC" w14:textId="77777777" w:rsidR="008315A9" w:rsidRDefault="00414792">
            <w:pPr>
              <w:jc w:val="center"/>
              <w:rPr>
                <w:rFonts w:eastAsia="SimSun"/>
              </w:rPr>
            </w:pPr>
            <w:r>
              <w:rPr>
                <w:rFonts w:eastAsia="SimSun" w:hint="eastAsia"/>
                <w:lang w:val="en-US" w:eastAsia="zh-CN"/>
              </w:rPr>
              <w:t>See comments</w:t>
            </w:r>
          </w:p>
        </w:tc>
        <w:tc>
          <w:tcPr>
            <w:tcW w:w="6844" w:type="dxa"/>
            <w:shd w:val="clear" w:color="auto" w:fill="auto"/>
            <w:vAlign w:val="center"/>
          </w:tcPr>
          <w:p w14:paraId="7B10A4A3" w14:textId="77777777" w:rsidR="008315A9" w:rsidRDefault="00414792">
            <w:pPr>
              <w:spacing w:after="120"/>
            </w:pPr>
            <w:r>
              <w:rPr>
                <w:rFonts w:hint="eastAsia"/>
                <w:lang w:val="en-US" w:eastAsia="zh-CN"/>
              </w:rPr>
              <w:t>Agree to</w:t>
            </w:r>
            <w:r>
              <w:rPr>
                <w:lang w:eastAsia="sv-SE"/>
              </w:rPr>
              <w:t xml:space="preserve"> configure</w:t>
            </w:r>
            <w:r>
              <w:rPr>
                <w:rFonts w:eastAsia="SimSun" w:hint="eastAsia"/>
                <w:lang w:val="en-US" w:eastAsia="zh-CN"/>
              </w:rPr>
              <w:t xml:space="preserve"> </w:t>
            </w:r>
            <w:r>
              <w:rPr>
                <w:lang w:eastAsia="sv-SE"/>
              </w:rPr>
              <w:t>SMTC5 list</w:t>
            </w:r>
            <w:r>
              <w:rPr>
                <w:rFonts w:eastAsia="SimSun" w:hint="eastAsia"/>
                <w:lang w:val="en-US" w:eastAsia="zh-CN"/>
              </w:rPr>
              <w:t xml:space="preserve"> </w:t>
            </w:r>
            <w:r>
              <w:rPr>
                <w:lang w:eastAsia="sv-SE"/>
              </w:rPr>
              <w:t>independently</w:t>
            </w:r>
            <w:r>
              <w:rPr>
                <w:rFonts w:eastAsia="SimSun" w:hint="eastAsia"/>
                <w:lang w:val="en-US" w:eastAsia="zh-CN"/>
              </w:rPr>
              <w:t xml:space="preserve">. </w:t>
            </w:r>
            <w:r>
              <w:rPr>
                <w:rFonts w:hint="eastAsia"/>
                <w:lang w:val="en-US" w:eastAsia="zh-CN"/>
              </w:rPr>
              <w:t xml:space="preserve">Based on the 129bis agreement, legacy UE will not be barred from DL CE cell, so NW need to configure SMTC for both legacy UE and R19 DL CE capable UE. From the perspective of </w:t>
            </w:r>
            <w:r>
              <w:rPr>
                <w:rFonts w:eastAsiaTheme="minorEastAsia" w:hint="eastAsia"/>
              </w:rPr>
              <w:t>minimiz</w:t>
            </w:r>
            <w:r>
              <w:rPr>
                <w:rFonts w:hint="eastAsia"/>
                <w:lang w:val="en-US" w:eastAsia="zh-CN"/>
              </w:rPr>
              <w:t>ing</w:t>
            </w:r>
            <w:r>
              <w:rPr>
                <w:rFonts w:eastAsiaTheme="minorEastAsia" w:hint="eastAsia"/>
              </w:rPr>
              <w:t xml:space="preserve"> the</w:t>
            </w:r>
            <w:r>
              <w:rPr>
                <w:rFonts w:hint="eastAsia"/>
                <w:lang w:val="en-US" w:eastAsia="zh-CN"/>
              </w:rPr>
              <w:t xml:space="preserve"> </w:t>
            </w:r>
            <w:r>
              <w:rPr>
                <w:rFonts w:eastAsiaTheme="minorEastAsia"/>
              </w:rPr>
              <w:t>impact on legacy UE</w:t>
            </w:r>
            <w:r>
              <w:rPr>
                <w:rFonts w:hint="eastAsia"/>
                <w:lang w:val="en-US" w:eastAsia="zh-CN"/>
              </w:rPr>
              <w:t xml:space="preserve"> </w:t>
            </w:r>
            <w:r>
              <w:rPr>
                <w:rFonts w:hint="eastAsia"/>
                <w:lang w:val="en-US" w:eastAsia="zh-CN"/>
              </w:rPr>
              <w:lastRenderedPageBreak/>
              <w:t>and</w:t>
            </w:r>
            <w:r>
              <w:t xml:space="preserve"> provid</w:t>
            </w:r>
            <w:r>
              <w:rPr>
                <w:rFonts w:hint="eastAsia"/>
                <w:lang w:val="en-US" w:eastAsia="zh-CN"/>
              </w:rPr>
              <w:t>ing</w:t>
            </w:r>
            <w:r>
              <w:t xml:space="preserve"> more</w:t>
            </w:r>
            <w:r>
              <w:rPr>
                <w:rFonts w:hint="eastAsia"/>
                <w:lang w:val="en-US" w:eastAsia="zh-CN"/>
              </w:rPr>
              <w:t xml:space="preserve"> </w:t>
            </w:r>
            <w:r>
              <w:t>flexibility</w:t>
            </w:r>
            <w:r>
              <w:rPr>
                <w:rFonts w:hint="eastAsia"/>
                <w:lang w:val="en-US" w:eastAsia="zh-CN"/>
              </w:rPr>
              <w:t xml:space="preserve">, it is </w:t>
            </w:r>
            <w:r>
              <w:rPr>
                <w:rFonts w:eastAsia="Yu Mincho" w:hint="eastAsia"/>
              </w:rPr>
              <w:t>preferable to</w:t>
            </w:r>
            <w:r>
              <w:rPr>
                <w:rFonts w:eastAsia="SimSun" w:hint="eastAsia"/>
                <w:lang w:val="en-US" w:eastAsia="zh-CN"/>
              </w:rPr>
              <w:t xml:space="preserve"> </w:t>
            </w:r>
            <w:r>
              <w:rPr>
                <w:rFonts w:eastAsia="Yu Mincho" w:hint="eastAsia"/>
              </w:rPr>
              <w:t xml:space="preserve">introduce new </w:t>
            </w:r>
            <w:r>
              <w:rPr>
                <w:rFonts w:eastAsia="SimSun" w:hint="eastAsia"/>
                <w:lang w:val="en-US" w:eastAsia="zh-CN"/>
              </w:rPr>
              <w:t xml:space="preserve">SMTC5 list. </w:t>
            </w:r>
          </w:p>
        </w:tc>
      </w:tr>
      <w:tr w:rsidR="008315A9" w14:paraId="349555E2" w14:textId="77777777">
        <w:tc>
          <w:tcPr>
            <w:tcW w:w="1615" w:type="dxa"/>
            <w:vAlign w:val="center"/>
          </w:tcPr>
          <w:p w14:paraId="49DD4511" w14:textId="6EE7D07F" w:rsidR="008315A9" w:rsidRDefault="00E006B9">
            <w:pPr>
              <w:jc w:val="center"/>
              <w:rPr>
                <w:rFonts w:eastAsia="Calibri"/>
              </w:rPr>
            </w:pPr>
            <w:r>
              <w:rPr>
                <w:rFonts w:eastAsia="Calibri"/>
              </w:rPr>
              <w:lastRenderedPageBreak/>
              <w:t>Ericsson</w:t>
            </w:r>
          </w:p>
        </w:tc>
        <w:tc>
          <w:tcPr>
            <w:tcW w:w="1170" w:type="dxa"/>
            <w:vAlign w:val="center"/>
          </w:tcPr>
          <w:p w14:paraId="48AF8421" w14:textId="6D283CB6" w:rsidR="008315A9" w:rsidRDefault="008315A9">
            <w:pPr>
              <w:jc w:val="center"/>
              <w:rPr>
                <w:rFonts w:eastAsia="Calibri"/>
              </w:rPr>
            </w:pPr>
          </w:p>
        </w:tc>
        <w:tc>
          <w:tcPr>
            <w:tcW w:w="6844" w:type="dxa"/>
            <w:vAlign w:val="center"/>
          </w:tcPr>
          <w:p w14:paraId="106CAF7F" w14:textId="7929926E" w:rsidR="008315A9" w:rsidRDefault="00E006B9">
            <w:pPr>
              <w:rPr>
                <w:rFonts w:eastAsia="Calibri"/>
              </w:rPr>
            </w:pPr>
            <w:r>
              <w:rPr>
                <w:rFonts w:eastAsia="Calibri"/>
              </w:rPr>
              <w:t>We agree that SMTC5 should be possible to configure independently.</w:t>
            </w:r>
          </w:p>
        </w:tc>
      </w:tr>
    </w:tbl>
    <w:p w14:paraId="600C8229" w14:textId="77777777" w:rsidR="008315A9" w:rsidRDefault="008315A9">
      <w:pPr>
        <w:rPr>
          <w:lang w:eastAsia="sv-SE"/>
        </w:rPr>
      </w:pPr>
    </w:p>
    <w:p w14:paraId="2C07EC06" w14:textId="0FCCBED6" w:rsidR="00E006B9" w:rsidRDefault="00E006B9" w:rsidP="00E006B9">
      <w:pPr>
        <w:pStyle w:val="Proposal"/>
        <w:rPr>
          <w:lang w:eastAsia="sv-SE"/>
        </w:rPr>
      </w:pPr>
      <w:r>
        <w:rPr>
          <w:lang w:eastAsia="sv-SE"/>
        </w:rPr>
        <w:t>SMTC5 list can be configured independently. Delta signalling with SMTC4 list can be supported to avoid unnecessary overhead. (5/5)</w:t>
      </w:r>
    </w:p>
    <w:p w14:paraId="71B1DD52" w14:textId="77777777" w:rsidR="00E006B9" w:rsidRDefault="00E006B9">
      <w:pPr>
        <w:rPr>
          <w:lang w:eastAsia="sv-SE"/>
        </w:rPr>
      </w:pPr>
    </w:p>
    <w:p w14:paraId="5AEA4E89" w14:textId="77777777" w:rsidR="008315A9" w:rsidRDefault="00414792">
      <w:pPr>
        <w:rPr>
          <w:lang w:eastAsia="sv-SE"/>
        </w:rPr>
      </w:pPr>
      <w:r>
        <w:rPr>
          <w:lang w:eastAsia="sv-SE"/>
        </w:rPr>
        <w:t>In this regard, the rapporteur proposed a maximum size of 5 for the reference location list with the understanding that Rel-15 SMTC refers to the serving cell, which does not need location-based SMTC. Provided the comments from different companies, RAN2 should clarify whether the agreement of 6 configured SMTCs include the serving cell and whether the Rel-15 SMTC parameter is subject to location-based SMTC selection.</w:t>
      </w:r>
    </w:p>
    <w:p w14:paraId="69D3D055" w14:textId="77777777" w:rsidR="008315A9" w:rsidRDefault="008315A9">
      <w:pPr>
        <w:rPr>
          <w:lang w:eastAsia="sv-SE"/>
        </w:rPr>
      </w:pPr>
    </w:p>
    <w:p w14:paraId="7DEC42AA" w14:textId="77777777" w:rsidR="008315A9" w:rsidRDefault="00414792">
      <w:pPr>
        <w:pStyle w:val="PL"/>
      </w:pPr>
      <w:r>
        <w:t>ReferenceLocationList-r19 ::=</w:t>
      </w:r>
      <w:r>
        <w:rPr>
          <w:color w:val="993366"/>
        </w:rPr>
        <w:t xml:space="preserve"> SEQUENCE</w:t>
      </w:r>
      <w:r>
        <w:t xml:space="preserve"> (</w:t>
      </w:r>
      <w:r>
        <w:rPr>
          <w:color w:val="993366"/>
        </w:rPr>
        <w:t>SIZE</w:t>
      </w:r>
      <w:r>
        <w:t>(1..5))</w:t>
      </w:r>
      <w:r>
        <w:rPr>
          <w:color w:val="993366"/>
        </w:rPr>
        <w:t xml:space="preserve"> OF</w:t>
      </w:r>
      <w:r>
        <w:t xml:space="preserve"> ReferenceLocation</w:t>
      </w:r>
    </w:p>
    <w:p w14:paraId="6BC66246" w14:textId="77777777" w:rsidR="008315A9" w:rsidRDefault="008315A9">
      <w:pPr>
        <w:rPr>
          <w:b/>
          <w:bCs/>
          <w:lang w:eastAsia="sv-SE"/>
        </w:rPr>
      </w:pPr>
    </w:p>
    <w:p w14:paraId="34B514A3" w14:textId="77777777" w:rsidR="008315A9" w:rsidRDefault="00414792">
      <w:pPr>
        <w:pStyle w:val="Proposal"/>
        <w:rPr>
          <w:lang w:eastAsia="sv-SE"/>
        </w:rPr>
      </w:pPr>
      <w:r>
        <w:rPr>
          <w:lang w:eastAsia="sv-SE"/>
        </w:rPr>
        <w:t>Question 2: do the agreed 6 configured SMTCs include the serving cell SMTC, usually captured with the Rel-15 SMTC parameter.</w:t>
      </w:r>
    </w:p>
    <w:tbl>
      <w:tblPr>
        <w:tblStyle w:val="TableGrid"/>
        <w:tblW w:w="0" w:type="auto"/>
        <w:tblLook w:val="04A0" w:firstRow="1" w:lastRow="0" w:firstColumn="1" w:lastColumn="0" w:noHBand="0" w:noVBand="1"/>
      </w:tblPr>
      <w:tblGrid>
        <w:gridCol w:w="1615"/>
        <w:gridCol w:w="1244"/>
        <w:gridCol w:w="6844"/>
      </w:tblGrid>
      <w:tr w:rsidR="008315A9" w14:paraId="74197178" w14:textId="77777777">
        <w:tc>
          <w:tcPr>
            <w:tcW w:w="1615" w:type="dxa"/>
            <w:shd w:val="clear" w:color="auto" w:fill="E7E6E6" w:themeFill="background2"/>
            <w:vAlign w:val="center"/>
          </w:tcPr>
          <w:p w14:paraId="21E578C6" w14:textId="77777777" w:rsidR="008315A9" w:rsidRDefault="00414792">
            <w:pPr>
              <w:jc w:val="center"/>
              <w:rPr>
                <w:rFonts w:eastAsia="Calibri"/>
                <w:b/>
                <w:bCs/>
                <w:lang w:eastAsia="sv-SE"/>
              </w:rPr>
            </w:pPr>
            <w:r>
              <w:rPr>
                <w:rFonts w:eastAsia="Calibri"/>
                <w:b/>
                <w:bCs/>
                <w:lang w:eastAsia="sv-SE"/>
              </w:rPr>
              <w:t>Company</w:t>
            </w:r>
          </w:p>
        </w:tc>
        <w:tc>
          <w:tcPr>
            <w:tcW w:w="1170" w:type="dxa"/>
            <w:shd w:val="clear" w:color="auto" w:fill="E7E6E6" w:themeFill="background2"/>
            <w:vAlign w:val="center"/>
          </w:tcPr>
          <w:p w14:paraId="7B57094F" w14:textId="77777777" w:rsidR="008315A9" w:rsidRDefault="00414792">
            <w:pPr>
              <w:jc w:val="center"/>
              <w:rPr>
                <w:rFonts w:eastAsia="Calibri"/>
                <w:b/>
                <w:bCs/>
                <w:lang w:eastAsia="sv-SE"/>
              </w:rPr>
            </w:pPr>
            <w:r>
              <w:rPr>
                <w:rFonts w:eastAsia="Calibri"/>
                <w:b/>
                <w:bCs/>
                <w:lang w:eastAsia="sv-SE"/>
              </w:rPr>
              <w:t>Yes/No</w:t>
            </w:r>
          </w:p>
        </w:tc>
        <w:tc>
          <w:tcPr>
            <w:tcW w:w="6844" w:type="dxa"/>
            <w:shd w:val="clear" w:color="auto" w:fill="E7E6E6" w:themeFill="background2"/>
            <w:vAlign w:val="center"/>
          </w:tcPr>
          <w:p w14:paraId="550D238B" w14:textId="77777777" w:rsidR="008315A9" w:rsidRDefault="00414792">
            <w:pPr>
              <w:jc w:val="center"/>
              <w:rPr>
                <w:rFonts w:eastAsia="Calibri"/>
                <w:b/>
                <w:bCs/>
                <w:lang w:eastAsia="sv-SE"/>
              </w:rPr>
            </w:pPr>
            <w:r>
              <w:rPr>
                <w:rFonts w:eastAsia="Calibri"/>
                <w:b/>
                <w:bCs/>
                <w:lang w:eastAsia="sv-SE"/>
              </w:rPr>
              <w:t>Comments</w:t>
            </w:r>
          </w:p>
        </w:tc>
      </w:tr>
      <w:tr w:rsidR="008315A9" w14:paraId="385DEDB0" w14:textId="77777777">
        <w:tc>
          <w:tcPr>
            <w:tcW w:w="1615" w:type="dxa"/>
            <w:vAlign w:val="center"/>
          </w:tcPr>
          <w:p w14:paraId="0F2310F7" w14:textId="77777777" w:rsidR="008315A9" w:rsidRDefault="00414792">
            <w:pPr>
              <w:jc w:val="center"/>
              <w:rPr>
                <w:rFonts w:eastAsia="Calibri"/>
              </w:rPr>
            </w:pPr>
            <w:r>
              <w:rPr>
                <w:rFonts w:eastAsia="Calibri"/>
              </w:rPr>
              <w:t>Ericsson</w:t>
            </w:r>
          </w:p>
        </w:tc>
        <w:tc>
          <w:tcPr>
            <w:tcW w:w="1170" w:type="dxa"/>
            <w:vAlign w:val="center"/>
          </w:tcPr>
          <w:p w14:paraId="4F4E9DAF" w14:textId="77777777" w:rsidR="008315A9" w:rsidRDefault="00414792">
            <w:pPr>
              <w:jc w:val="center"/>
              <w:rPr>
                <w:rFonts w:eastAsia="Calibri"/>
              </w:rPr>
            </w:pPr>
            <w:r>
              <w:rPr>
                <w:rFonts w:eastAsia="Calibri"/>
              </w:rPr>
              <w:t>Yes</w:t>
            </w:r>
          </w:p>
        </w:tc>
        <w:tc>
          <w:tcPr>
            <w:tcW w:w="6844" w:type="dxa"/>
            <w:vAlign w:val="center"/>
          </w:tcPr>
          <w:p w14:paraId="16042722" w14:textId="77777777" w:rsidR="008315A9" w:rsidRDefault="008315A9">
            <w:pPr>
              <w:rPr>
                <w:rFonts w:eastAsia="Calibri"/>
              </w:rPr>
            </w:pPr>
          </w:p>
        </w:tc>
      </w:tr>
      <w:tr w:rsidR="008315A9" w14:paraId="6F337AC2" w14:textId="77777777">
        <w:tc>
          <w:tcPr>
            <w:tcW w:w="1615" w:type="dxa"/>
            <w:vAlign w:val="center"/>
          </w:tcPr>
          <w:p w14:paraId="06744478" w14:textId="77777777" w:rsidR="008315A9" w:rsidRDefault="00414792">
            <w:pPr>
              <w:jc w:val="center"/>
              <w:rPr>
                <w:rFonts w:eastAsia="Calibri"/>
              </w:rPr>
            </w:pPr>
            <w:r>
              <w:rPr>
                <w:rFonts w:eastAsia="Calibri"/>
              </w:rPr>
              <w:t>Qualcomm</w:t>
            </w:r>
          </w:p>
        </w:tc>
        <w:tc>
          <w:tcPr>
            <w:tcW w:w="1170" w:type="dxa"/>
            <w:vAlign w:val="center"/>
          </w:tcPr>
          <w:p w14:paraId="357366AB" w14:textId="77777777" w:rsidR="008315A9" w:rsidRDefault="00414792">
            <w:pPr>
              <w:jc w:val="center"/>
              <w:rPr>
                <w:rFonts w:eastAsia="Calibri"/>
              </w:rPr>
            </w:pPr>
            <w:r>
              <w:rPr>
                <w:rFonts w:eastAsia="Calibri"/>
              </w:rPr>
              <w:t>Yes</w:t>
            </w:r>
          </w:p>
        </w:tc>
        <w:tc>
          <w:tcPr>
            <w:tcW w:w="6844" w:type="dxa"/>
            <w:vAlign w:val="center"/>
          </w:tcPr>
          <w:p w14:paraId="27367501" w14:textId="77777777" w:rsidR="008315A9" w:rsidRDefault="008315A9">
            <w:pPr>
              <w:rPr>
                <w:rFonts w:eastAsia="Calibri"/>
              </w:rPr>
            </w:pPr>
          </w:p>
        </w:tc>
      </w:tr>
      <w:tr w:rsidR="008315A9" w14:paraId="08D45C6C" w14:textId="77777777">
        <w:tc>
          <w:tcPr>
            <w:tcW w:w="1615" w:type="dxa"/>
            <w:vAlign w:val="center"/>
          </w:tcPr>
          <w:p w14:paraId="24F944B0" w14:textId="77777777" w:rsidR="008315A9" w:rsidRDefault="00414792">
            <w:pPr>
              <w:jc w:val="center"/>
              <w:rPr>
                <w:rFonts w:eastAsia="SimSun"/>
              </w:rPr>
            </w:pPr>
            <w:r>
              <w:rPr>
                <w:rFonts w:eastAsia="SimSun" w:hint="eastAsia"/>
                <w:lang w:val="en-US" w:eastAsia="zh-CN"/>
              </w:rPr>
              <w:t>ZTE</w:t>
            </w:r>
          </w:p>
        </w:tc>
        <w:tc>
          <w:tcPr>
            <w:tcW w:w="1170" w:type="dxa"/>
            <w:vAlign w:val="center"/>
          </w:tcPr>
          <w:p w14:paraId="09CCD01C" w14:textId="77777777" w:rsidR="008315A9" w:rsidRDefault="00414792">
            <w:pPr>
              <w:jc w:val="center"/>
              <w:rPr>
                <w:rFonts w:eastAsia="SimSun"/>
              </w:rPr>
            </w:pPr>
            <w:r>
              <w:rPr>
                <w:rFonts w:eastAsia="SimSun" w:hint="eastAsia"/>
                <w:lang w:val="en-US" w:eastAsia="zh-CN"/>
              </w:rPr>
              <w:t>See comments</w:t>
            </w:r>
          </w:p>
        </w:tc>
        <w:tc>
          <w:tcPr>
            <w:tcW w:w="6844" w:type="dxa"/>
            <w:vAlign w:val="center"/>
          </w:tcPr>
          <w:p w14:paraId="1158702E" w14:textId="77777777" w:rsidR="008315A9" w:rsidRDefault="00414792">
            <w:pPr>
              <w:rPr>
                <w:rFonts w:eastAsia="SimSun"/>
              </w:rPr>
            </w:pPr>
            <w:r>
              <w:rPr>
                <w:rFonts w:eastAsia="SimSun" w:hint="eastAsia"/>
                <w:lang w:val="en-US" w:eastAsia="zh-CN"/>
              </w:rPr>
              <w:t>Smtc list in SIB2/4 is only for neighbor cell measurements, UE follows SSB pattern to measure serving cell. But we agree that smtc5 contains 5 entries, together with smtc in SIB2/4, the maximum number SMTCs is 6.</w:t>
            </w:r>
          </w:p>
        </w:tc>
      </w:tr>
      <w:tr w:rsidR="008315A9" w14:paraId="5A51B383" w14:textId="77777777">
        <w:tc>
          <w:tcPr>
            <w:tcW w:w="1615" w:type="dxa"/>
            <w:vAlign w:val="center"/>
          </w:tcPr>
          <w:p w14:paraId="55EA4831" w14:textId="77777777" w:rsidR="008315A9" w:rsidRDefault="00414792">
            <w:pPr>
              <w:jc w:val="center"/>
              <w:rPr>
                <w:rFonts w:eastAsia="Calibri"/>
              </w:rPr>
            </w:pPr>
            <w:r>
              <w:rPr>
                <w:rFonts w:eastAsia="Calibri"/>
              </w:rPr>
              <w:t>vivo</w:t>
            </w:r>
          </w:p>
        </w:tc>
        <w:tc>
          <w:tcPr>
            <w:tcW w:w="1170" w:type="dxa"/>
            <w:vAlign w:val="center"/>
          </w:tcPr>
          <w:p w14:paraId="17E0590B" w14:textId="77777777" w:rsidR="008315A9" w:rsidRDefault="00414792">
            <w:pPr>
              <w:jc w:val="center"/>
              <w:rPr>
                <w:rFonts w:eastAsia="Calibri"/>
              </w:rPr>
            </w:pPr>
            <w:r>
              <w:rPr>
                <w:rFonts w:eastAsia="Calibri"/>
              </w:rPr>
              <w:t>Yes</w:t>
            </w:r>
          </w:p>
        </w:tc>
        <w:tc>
          <w:tcPr>
            <w:tcW w:w="6844" w:type="dxa"/>
            <w:vAlign w:val="center"/>
          </w:tcPr>
          <w:p w14:paraId="14C4BB4A" w14:textId="77777777" w:rsidR="008315A9" w:rsidRDefault="008315A9">
            <w:pPr>
              <w:rPr>
                <w:rFonts w:eastAsia="Calibri"/>
              </w:rPr>
            </w:pPr>
          </w:p>
        </w:tc>
      </w:tr>
      <w:tr w:rsidR="008315A9" w14:paraId="331F0807" w14:textId="77777777">
        <w:tc>
          <w:tcPr>
            <w:tcW w:w="1615" w:type="dxa"/>
            <w:shd w:val="clear" w:color="auto" w:fill="auto"/>
            <w:vAlign w:val="center"/>
          </w:tcPr>
          <w:p w14:paraId="0B609A2F" w14:textId="77777777" w:rsidR="008315A9" w:rsidRDefault="00414792">
            <w:pPr>
              <w:jc w:val="center"/>
              <w:rPr>
                <w:rFonts w:eastAsia="SimSun"/>
              </w:rPr>
            </w:pPr>
            <w:r>
              <w:rPr>
                <w:rFonts w:eastAsia="SimSun" w:hint="eastAsia"/>
                <w:lang w:val="en-US" w:eastAsia="zh-CN"/>
              </w:rPr>
              <w:t>CMCC</w:t>
            </w:r>
          </w:p>
        </w:tc>
        <w:tc>
          <w:tcPr>
            <w:tcW w:w="1170" w:type="dxa"/>
            <w:shd w:val="clear" w:color="auto" w:fill="auto"/>
            <w:vAlign w:val="center"/>
          </w:tcPr>
          <w:p w14:paraId="1407BEA4" w14:textId="77777777" w:rsidR="008315A9" w:rsidRDefault="00414792">
            <w:pPr>
              <w:jc w:val="center"/>
              <w:rPr>
                <w:rFonts w:eastAsia="SimSun"/>
              </w:rPr>
            </w:pPr>
            <w:r>
              <w:rPr>
                <w:rFonts w:eastAsia="SimSun" w:hint="eastAsia"/>
                <w:lang w:val="en-US" w:eastAsia="zh-CN"/>
              </w:rPr>
              <w:t>Yes</w:t>
            </w:r>
          </w:p>
        </w:tc>
        <w:tc>
          <w:tcPr>
            <w:tcW w:w="6844" w:type="dxa"/>
            <w:vAlign w:val="center"/>
          </w:tcPr>
          <w:p w14:paraId="08294A96" w14:textId="77777777" w:rsidR="008315A9" w:rsidRDefault="008315A9">
            <w:pPr>
              <w:rPr>
                <w:rFonts w:eastAsia="Calibri"/>
              </w:rPr>
            </w:pPr>
          </w:p>
        </w:tc>
      </w:tr>
    </w:tbl>
    <w:p w14:paraId="4883BC79" w14:textId="77777777" w:rsidR="008315A9" w:rsidRDefault="008315A9">
      <w:pPr>
        <w:rPr>
          <w:lang w:eastAsia="sv-SE"/>
        </w:rPr>
      </w:pPr>
    </w:p>
    <w:p w14:paraId="1BFD605F" w14:textId="4A024636" w:rsidR="00733229" w:rsidRDefault="00733229" w:rsidP="00733229">
      <w:pPr>
        <w:pStyle w:val="Proposal"/>
        <w:rPr>
          <w:lang w:eastAsia="sv-SE"/>
        </w:rPr>
      </w:pPr>
      <w:r>
        <w:rPr>
          <w:lang w:eastAsia="sv-SE"/>
        </w:rPr>
        <w:t>The maximum number of 6 configured SMTCs include the SMTC of the serving cell (5/5)</w:t>
      </w:r>
    </w:p>
    <w:p w14:paraId="1100EB82" w14:textId="77777777" w:rsidR="00733229" w:rsidRDefault="00733229">
      <w:pPr>
        <w:rPr>
          <w:lang w:eastAsia="sv-SE"/>
        </w:rPr>
      </w:pPr>
    </w:p>
    <w:p w14:paraId="00E25630" w14:textId="77777777" w:rsidR="008315A9" w:rsidRDefault="00414792">
      <w:pPr>
        <w:rPr>
          <w:b/>
          <w:bCs/>
          <w:u w:val="single"/>
          <w:lang w:eastAsia="sv-SE"/>
        </w:rPr>
      </w:pPr>
      <w:r>
        <w:rPr>
          <w:b/>
          <w:bCs/>
          <w:u w:val="single"/>
          <w:lang w:eastAsia="sv-SE"/>
        </w:rPr>
        <w:t>Multiple periodicities for inter-frequency neighbour cells</w:t>
      </w:r>
    </w:p>
    <w:p w14:paraId="061115F4" w14:textId="77777777" w:rsidR="008315A9" w:rsidRDefault="00414792">
      <w:pPr>
        <w:rPr>
          <w:lang w:eastAsia="sv-SE"/>
        </w:rPr>
      </w:pPr>
      <w:r>
        <w:rPr>
          <w:lang w:eastAsia="sv-SE"/>
        </w:rPr>
        <w:lastRenderedPageBreak/>
        <w:t xml:space="preserve">In RAN2#129, RAN2 assumed that “it will be possible to have different SSB periodicity among neighbour cells in the same frequency layer”. In the rapporteur’s understanding, based on previous discussions and baseline scenarios considered, multiple SMTCs offsets are not needed for inter-frequency neighbors. For example, RAN2 also made the following agreement in RAN2#129: “RAN2 observes that if the cells active simultaneously are scattered, (for the case of </w:t>
      </w:r>
      <w:r>
        <w:rPr>
          <w:u w:val="single"/>
          <w:lang w:eastAsia="sv-SE"/>
        </w:rPr>
        <w:t>intra-frequency neighbouring</w:t>
      </w:r>
      <w:r>
        <w:rPr>
          <w:lang w:eastAsia="sv-SE"/>
        </w:rPr>
        <w:t xml:space="preserve"> cells), the SSBs of surrounding neighbour cells may be transmitted at different times and existing SMTC mechanism may not be enough”. However, some companies have commented that multiple periodicities should be also added in SIB4. Therefore, companies are invited to address the FFS whether multiple SMTC periodicies are needed in frequency layers different from the serving cell frequency (e.g., inter-frequency neighbours) in a contribution for next meeting clarifying the scenarios where this enhancement would be beneficial.</w:t>
      </w:r>
    </w:p>
    <w:p w14:paraId="5883F30E" w14:textId="77777777" w:rsidR="008315A9" w:rsidRDefault="008315A9">
      <w:pPr>
        <w:rPr>
          <w:lang w:eastAsia="sv-SE"/>
        </w:rPr>
      </w:pPr>
    </w:p>
    <w:p w14:paraId="59103503" w14:textId="757C6F5C" w:rsidR="008315A9" w:rsidRDefault="00414792">
      <w:pPr>
        <w:pStyle w:val="Proposal"/>
        <w:rPr>
          <w:lang w:eastAsia="sv-SE"/>
        </w:rPr>
      </w:pPr>
      <w:r>
        <w:rPr>
          <w:lang w:eastAsia="sv-SE"/>
        </w:rPr>
        <w:t>FFS whether multiple SMTC periodic</w:t>
      </w:r>
      <w:r w:rsidR="00733229">
        <w:rPr>
          <w:lang w:eastAsia="sv-SE"/>
        </w:rPr>
        <w:t>it</w:t>
      </w:r>
      <w:r>
        <w:rPr>
          <w:lang w:eastAsia="sv-SE"/>
        </w:rPr>
        <w:t>ies are needed in frequency layers different from the serving cell frequency (e.g., inter-frequency neighbours) and clarify in which inter-frequency scenario(s) this enhancement is beneficial.</w:t>
      </w:r>
    </w:p>
    <w:p w14:paraId="5DCE9545" w14:textId="77777777" w:rsidR="008315A9" w:rsidRDefault="008315A9">
      <w:pPr>
        <w:rPr>
          <w:lang w:eastAsia="sv-SE"/>
        </w:rPr>
      </w:pPr>
    </w:p>
    <w:p w14:paraId="59416875" w14:textId="77777777" w:rsidR="008315A9" w:rsidRDefault="00414792">
      <w:pPr>
        <w:rPr>
          <w:b/>
          <w:u w:val="single"/>
          <w:lang w:eastAsia="sv-SE"/>
        </w:rPr>
      </w:pPr>
      <w:r>
        <w:rPr>
          <w:b/>
          <w:u w:val="single"/>
          <w:lang w:eastAsia="sv-SE"/>
        </w:rPr>
        <w:t>SMTC enhancements in connected mode</w:t>
      </w:r>
    </w:p>
    <w:p w14:paraId="3D513C07" w14:textId="77777777" w:rsidR="008315A9" w:rsidRDefault="00414792">
      <w:pPr>
        <w:rPr>
          <w:lang w:eastAsia="sv-SE"/>
        </w:rPr>
      </w:pPr>
      <w:r>
        <w:rPr>
          <w:lang w:eastAsia="sv-SE"/>
        </w:rPr>
        <w:t>Following last meeting discussions, it is still RAN2 confirmation the working assumption: “We introduce a mechanism to assist the NW to configure the SMTCs in connected mode:</w:t>
      </w:r>
    </w:p>
    <w:p w14:paraId="7078A51E" w14:textId="77777777" w:rsidR="008315A9" w:rsidRDefault="00414792">
      <w:pPr>
        <w:rPr>
          <w:lang w:eastAsia="sv-SE"/>
        </w:rPr>
      </w:pPr>
      <w:r>
        <w:rPr>
          <w:lang w:eastAsia="sv-SE"/>
        </w:rPr>
        <w:tab/>
        <w:t>Alt 1: UE provide the closest N reference locations/neighbor cells to network.</w:t>
      </w:r>
    </w:p>
    <w:p w14:paraId="5F63622A" w14:textId="77777777" w:rsidR="008315A9" w:rsidRDefault="00414792">
      <w:pPr>
        <w:rPr>
          <w:lang w:eastAsia="sv-SE"/>
        </w:rPr>
      </w:pPr>
      <w:r>
        <w:rPr>
          <w:lang w:eastAsia="sv-SE"/>
        </w:rPr>
        <w:tab/>
        <w:t>Alt 2: UE reports the selected SMTCs from configured SMTC set to network.</w:t>
      </w:r>
    </w:p>
    <w:p w14:paraId="02B9BF40" w14:textId="77777777" w:rsidR="008315A9" w:rsidRDefault="00414792">
      <w:pPr>
        <w:rPr>
          <w:lang w:eastAsia="sv-SE"/>
        </w:rPr>
      </w:pPr>
      <w:r>
        <w:rPr>
          <w:lang w:eastAsia="sv-SE"/>
        </w:rPr>
        <w:t>Companies are invited to bring their analysis whether to confirm the working assumption (and decide between Alt1 or Alt2) comparing the alternatives with aspects such as signaling design, energy consumption, etc. or whether the current specification is sufficient and RAN2 does not introduce any enhancement.</w:t>
      </w:r>
    </w:p>
    <w:p w14:paraId="2AEAB37F" w14:textId="77777777" w:rsidR="008315A9" w:rsidRDefault="008315A9">
      <w:pPr>
        <w:rPr>
          <w:lang w:eastAsia="sv-SE"/>
        </w:rPr>
      </w:pPr>
    </w:p>
    <w:p w14:paraId="08F4E04A" w14:textId="77777777" w:rsidR="008315A9" w:rsidRDefault="00414792">
      <w:pPr>
        <w:pStyle w:val="Proposal"/>
        <w:rPr>
          <w:lang w:eastAsia="sv-SE"/>
        </w:rPr>
      </w:pPr>
      <w:r>
        <w:rPr>
          <w:lang w:eastAsia="sv-SE"/>
        </w:rPr>
        <w:t>FFS on the support of location-based SMTC selection in RRC_CONNECTED and the choice between Alt 1 or Alt2.</w:t>
      </w:r>
    </w:p>
    <w:p w14:paraId="354D367F" w14:textId="77777777" w:rsidR="008315A9" w:rsidRDefault="008315A9">
      <w:pPr>
        <w:rPr>
          <w:lang w:eastAsia="sv-SE"/>
        </w:rPr>
      </w:pPr>
    </w:p>
    <w:p w14:paraId="6E308824" w14:textId="77777777" w:rsidR="008315A9" w:rsidRDefault="00414792">
      <w:pPr>
        <w:pStyle w:val="Heading3"/>
      </w:pPr>
      <w:r>
        <w:t>Intended Service Area for MBS NTN</w:t>
      </w:r>
    </w:p>
    <w:p w14:paraId="56E3BD65" w14:textId="77777777" w:rsidR="008315A9" w:rsidRDefault="00414792">
      <w:pPr>
        <w:rPr>
          <w:b/>
          <w:bCs/>
          <w:u w:val="single"/>
          <w:lang w:eastAsia="sv-SE"/>
        </w:rPr>
      </w:pPr>
      <w:r>
        <w:rPr>
          <w:b/>
          <w:bCs/>
          <w:u w:val="single"/>
          <w:lang w:eastAsia="sv-SE"/>
        </w:rPr>
        <w:t>Service continuity</w:t>
      </w:r>
    </w:p>
    <w:p w14:paraId="79E5B051" w14:textId="465069A0" w:rsidR="008315A9" w:rsidRDefault="00414792">
      <w:pPr>
        <w:rPr>
          <w:lang w:eastAsia="sv-SE"/>
        </w:rPr>
      </w:pPr>
      <w:r>
        <w:rPr>
          <w:lang w:eastAsia="sv-SE"/>
        </w:rPr>
        <w:t xml:space="preserve">RAN2 has agreed that a UE may prioritize the frequency(ies) for an interested service when UE can only receive the service on those frequency(ies) and the UE is in intended service area associated with the service provided in the frequency(ies). In addition, RAN2 agreed last meeting that “do not introduce service area information specific for FSAI in SIB2” and “do not introduce service area per </w:t>
      </w:r>
      <w:r>
        <w:rPr>
          <w:lang w:eastAsia="sv-SE"/>
        </w:rPr>
        <w:lastRenderedPageBreak/>
        <w:t>neighbour cell in MCCH”. Provided the Service Announcement will carry the Intended Service Area definition, companies are invited to answer the following question regarding the association between intended service area and frequencies for frequency prioritization in RRC_IDLE.</w:t>
      </w:r>
    </w:p>
    <w:p w14:paraId="7BAA1174" w14:textId="77777777" w:rsidR="008315A9" w:rsidRDefault="008315A9">
      <w:pPr>
        <w:rPr>
          <w:lang w:eastAsia="sv-SE"/>
        </w:rPr>
      </w:pPr>
    </w:p>
    <w:p w14:paraId="466C7D0F" w14:textId="77777777" w:rsidR="008315A9" w:rsidRDefault="00414792">
      <w:pPr>
        <w:pStyle w:val="Proposal"/>
        <w:rPr>
          <w:lang w:eastAsia="sv-SE"/>
        </w:rPr>
      </w:pPr>
      <w:r>
        <w:rPr>
          <w:lang w:eastAsia="sv-SE"/>
        </w:rPr>
        <w:t>Question 3: whether an explicit association between ISA and frequencies for frequency prioritization is required in AS layer.</w:t>
      </w:r>
    </w:p>
    <w:tbl>
      <w:tblPr>
        <w:tblStyle w:val="TableGrid"/>
        <w:tblW w:w="0" w:type="auto"/>
        <w:tblLook w:val="04A0" w:firstRow="1" w:lastRow="0" w:firstColumn="1" w:lastColumn="0" w:noHBand="0" w:noVBand="1"/>
      </w:tblPr>
      <w:tblGrid>
        <w:gridCol w:w="1615"/>
        <w:gridCol w:w="1170"/>
        <w:gridCol w:w="6844"/>
      </w:tblGrid>
      <w:tr w:rsidR="008315A9" w14:paraId="55A0C7B5" w14:textId="77777777">
        <w:tc>
          <w:tcPr>
            <w:tcW w:w="1615" w:type="dxa"/>
            <w:shd w:val="clear" w:color="auto" w:fill="E7E6E6" w:themeFill="background2"/>
            <w:vAlign w:val="center"/>
          </w:tcPr>
          <w:p w14:paraId="4B069445" w14:textId="77777777" w:rsidR="008315A9" w:rsidRDefault="00414792">
            <w:pPr>
              <w:jc w:val="center"/>
              <w:rPr>
                <w:rFonts w:eastAsia="Calibri"/>
                <w:b/>
                <w:bCs/>
                <w:lang w:eastAsia="sv-SE"/>
              </w:rPr>
            </w:pPr>
            <w:r>
              <w:rPr>
                <w:rFonts w:eastAsia="Calibri"/>
                <w:b/>
                <w:bCs/>
                <w:lang w:eastAsia="sv-SE"/>
              </w:rPr>
              <w:t>Company</w:t>
            </w:r>
          </w:p>
        </w:tc>
        <w:tc>
          <w:tcPr>
            <w:tcW w:w="1170" w:type="dxa"/>
            <w:shd w:val="clear" w:color="auto" w:fill="E7E6E6" w:themeFill="background2"/>
            <w:vAlign w:val="center"/>
          </w:tcPr>
          <w:p w14:paraId="56730384" w14:textId="77777777" w:rsidR="008315A9" w:rsidRDefault="00414792">
            <w:pPr>
              <w:jc w:val="center"/>
              <w:rPr>
                <w:rFonts w:eastAsia="Calibri"/>
                <w:b/>
                <w:bCs/>
                <w:lang w:eastAsia="sv-SE"/>
              </w:rPr>
            </w:pPr>
            <w:r>
              <w:rPr>
                <w:rFonts w:eastAsia="Calibri"/>
                <w:b/>
                <w:bCs/>
                <w:lang w:eastAsia="sv-SE"/>
              </w:rPr>
              <w:t>Yes/No</w:t>
            </w:r>
          </w:p>
        </w:tc>
        <w:tc>
          <w:tcPr>
            <w:tcW w:w="6844" w:type="dxa"/>
            <w:shd w:val="clear" w:color="auto" w:fill="E7E6E6" w:themeFill="background2"/>
            <w:vAlign w:val="center"/>
          </w:tcPr>
          <w:p w14:paraId="155AC0BD" w14:textId="77777777" w:rsidR="008315A9" w:rsidRDefault="00414792">
            <w:pPr>
              <w:jc w:val="center"/>
              <w:rPr>
                <w:rFonts w:eastAsia="Calibri"/>
                <w:b/>
                <w:bCs/>
                <w:lang w:eastAsia="sv-SE"/>
              </w:rPr>
            </w:pPr>
            <w:r>
              <w:rPr>
                <w:rFonts w:eastAsia="Calibri"/>
                <w:b/>
                <w:bCs/>
                <w:lang w:eastAsia="sv-SE"/>
              </w:rPr>
              <w:t>Comments</w:t>
            </w:r>
          </w:p>
        </w:tc>
      </w:tr>
      <w:tr w:rsidR="008315A9" w14:paraId="615FD105" w14:textId="77777777">
        <w:tc>
          <w:tcPr>
            <w:tcW w:w="1615" w:type="dxa"/>
            <w:vAlign w:val="center"/>
          </w:tcPr>
          <w:p w14:paraId="141A5BAD" w14:textId="77777777" w:rsidR="008315A9" w:rsidRDefault="00414792">
            <w:pPr>
              <w:jc w:val="center"/>
              <w:rPr>
                <w:rFonts w:eastAsia="Calibri"/>
              </w:rPr>
            </w:pPr>
            <w:r>
              <w:rPr>
                <w:rFonts w:eastAsia="Calibri"/>
              </w:rPr>
              <w:t>Ericsson</w:t>
            </w:r>
          </w:p>
        </w:tc>
        <w:tc>
          <w:tcPr>
            <w:tcW w:w="1170" w:type="dxa"/>
            <w:vAlign w:val="center"/>
          </w:tcPr>
          <w:p w14:paraId="523BA50F" w14:textId="77777777" w:rsidR="008315A9" w:rsidRDefault="00414792">
            <w:pPr>
              <w:jc w:val="center"/>
              <w:rPr>
                <w:rFonts w:eastAsia="Calibri"/>
              </w:rPr>
            </w:pPr>
            <w:r>
              <w:rPr>
                <w:rFonts w:eastAsia="Calibri"/>
              </w:rPr>
              <w:t>No</w:t>
            </w:r>
          </w:p>
        </w:tc>
        <w:tc>
          <w:tcPr>
            <w:tcW w:w="6844" w:type="dxa"/>
            <w:vAlign w:val="center"/>
          </w:tcPr>
          <w:p w14:paraId="5538068A" w14:textId="77777777" w:rsidR="008315A9" w:rsidRDefault="00414792">
            <w:pPr>
              <w:rPr>
                <w:rFonts w:eastAsia="Calibri"/>
              </w:rPr>
            </w:pPr>
            <w:r>
              <w:rPr>
                <w:rFonts w:eastAsia="Calibri"/>
              </w:rPr>
              <w:t>It is sufficient with the Service Announcement for the UE to make the connection between FSA ID and ISA.</w:t>
            </w:r>
          </w:p>
        </w:tc>
      </w:tr>
      <w:tr w:rsidR="008315A9" w14:paraId="0E1EC232" w14:textId="77777777">
        <w:tc>
          <w:tcPr>
            <w:tcW w:w="1615" w:type="dxa"/>
            <w:vAlign w:val="center"/>
          </w:tcPr>
          <w:p w14:paraId="33E29471" w14:textId="77777777" w:rsidR="008315A9" w:rsidRDefault="00414792">
            <w:pPr>
              <w:jc w:val="center"/>
              <w:rPr>
                <w:rFonts w:eastAsia="Calibri"/>
              </w:rPr>
            </w:pPr>
            <w:r>
              <w:rPr>
                <w:rFonts w:eastAsia="Calibri"/>
              </w:rPr>
              <w:t>Qualcomm</w:t>
            </w:r>
          </w:p>
        </w:tc>
        <w:tc>
          <w:tcPr>
            <w:tcW w:w="1170" w:type="dxa"/>
            <w:vAlign w:val="center"/>
          </w:tcPr>
          <w:p w14:paraId="166594E9" w14:textId="77777777" w:rsidR="008315A9" w:rsidRDefault="008315A9">
            <w:pPr>
              <w:jc w:val="center"/>
              <w:rPr>
                <w:rFonts w:eastAsia="Calibri"/>
              </w:rPr>
            </w:pPr>
          </w:p>
        </w:tc>
        <w:tc>
          <w:tcPr>
            <w:tcW w:w="6844" w:type="dxa"/>
            <w:vAlign w:val="center"/>
          </w:tcPr>
          <w:p w14:paraId="520E6AA9" w14:textId="77777777" w:rsidR="008315A9" w:rsidRDefault="00414792">
            <w:pPr>
              <w:rPr>
                <w:rFonts w:eastAsia="Calibri"/>
              </w:rPr>
            </w:pPr>
            <w:r>
              <w:rPr>
                <w:rFonts w:eastAsia="Calibri"/>
              </w:rPr>
              <w:t>This option should be possible to do for network, may be leave this to OAM how neighbor cell MBS frequency ISA is obtained.</w:t>
            </w:r>
          </w:p>
        </w:tc>
      </w:tr>
      <w:tr w:rsidR="008315A9" w14:paraId="32575B1D" w14:textId="77777777">
        <w:tc>
          <w:tcPr>
            <w:tcW w:w="1615" w:type="dxa"/>
            <w:vAlign w:val="center"/>
          </w:tcPr>
          <w:p w14:paraId="4D0CA1C0" w14:textId="77777777" w:rsidR="008315A9" w:rsidRDefault="00414792">
            <w:pPr>
              <w:jc w:val="center"/>
              <w:rPr>
                <w:rFonts w:eastAsia="Calibri"/>
              </w:rPr>
            </w:pPr>
            <w:r>
              <w:rPr>
                <w:rFonts w:eastAsia="Calibri"/>
              </w:rPr>
              <w:t>vivo</w:t>
            </w:r>
          </w:p>
        </w:tc>
        <w:tc>
          <w:tcPr>
            <w:tcW w:w="1170" w:type="dxa"/>
            <w:vAlign w:val="center"/>
          </w:tcPr>
          <w:p w14:paraId="78A61551" w14:textId="77777777" w:rsidR="008315A9" w:rsidRDefault="00414792">
            <w:pPr>
              <w:jc w:val="center"/>
              <w:rPr>
                <w:rFonts w:eastAsia="Calibri"/>
              </w:rPr>
            </w:pPr>
            <w:r>
              <w:rPr>
                <w:rFonts w:eastAsia="Calibri"/>
              </w:rPr>
              <w:t>No</w:t>
            </w:r>
          </w:p>
        </w:tc>
        <w:tc>
          <w:tcPr>
            <w:tcW w:w="6844" w:type="dxa"/>
            <w:vAlign w:val="center"/>
          </w:tcPr>
          <w:p w14:paraId="168CCB13" w14:textId="77777777" w:rsidR="008315A9" w:rsidRDefault="00414792">
            <w:pPr>
              <w:rPr>
                <w:rFonts w:eastAsia="Calibri"/>
              </w:rPr>
            </w:pPr>
            <w:r>
              <w:rPr>
                <w:rFonts w:eastAsia="Calibri"/>
              </w:rPr>
              <w:t>We think the intentsion of having ISA in USD is only for MCCH reading optimization. For frequency, the UE do the prioritization based on SIBxx.</w:t>
            </w:r>
          </w:p>
        </w:tc>
      </w:tr>
      <w:tr w:rsidR="008315A9" w14:paraId="7D7D8B60" w14:textId="77777777">
        <w:tc>
          <w:tcPr>
            <w:tcW w:w="1615" w:type="dxa"/>
            <w:shd w:val="clear" w:color="auto" w:fill="auto"/>
            <w:vAlign w:val="center"/>
          </w:tcPr>
          <w:p w14:paraId="5C4F3EC0" w14:textId="77777777" w:rsidR="008315A9" w:rsidRDefault="00414792">
            <w:pPr>
              <w:jc w:val="center"/>
              <w:rPr>
                <w:rFonts w:eastAsia="SimSun"/>
              </w:rPr>
            </w:pPr>
            <w:r>
              <w:rPr>
                <w:rFonts w:eastAsia="SimSun" w:hint="eastAsia"/>
                <w:lang w:val="en-US" w:eastAsia="zh-CN"/>
              </w:rPr>
              <w:t>CMCC</w:t>
            </w:r>
          </w:p>
        </w:tc>
        <w:tc>
          <w:tcPr>
            <w:tcW w:w="1170" w:type="dxa"/>
            <w:shd w:val="clear" w:color="auto" w:fill="auto"/>
            <w:vAlign w:val="center"/>
          </w:tcPr>
          <w:p w14:paraId="67273612" w14:textId="77777777" w:rsidR="008315A9" w:rsidRDefault="00414792">
            <w:pPr>
              <w:jc w:val="center"/>
              <w:rPr>
                <w:rFonts w:eastAsia="SimSun"/>
              </w:rPr>
            </w:pPr>
            <w:r>
              <w:rPr>
                <w:rFonts w:eastAsia="SimSun" w:hint="eastAsia"/>
                <w:lang w:val="en-US" w:eastAsia="zh-CN"/>
              </w:rPr>
              <w:t>No</w:t>
            </w:r>
          </w:p>
        </w:tc>
        <w:tc>
          <w:tcPr>
            <w:tcW w:w="6844" w:type="dxa"/>
            <w:shd w:val="clear" w:color="auto" w:fill="auto"/>
            <w:vAlign w:val="center"/>
          </w:tcPr>
          <w:p w14:paraId="66524713" w14:textId="77777777" w:rsidR="008315A9" w:rsidRDefault="00414792">
            <w:pPr>
              <w:rPr>
                <w:rFonts w:eastAsia="SimSun"/>
              </w:rPr>
            </w:pPr>
            <w:r>
              <w:rPr>
                <w:rFonts w:eastAsia="SimSun" w:hint="eastAsia"/>
                <w:lang w:val="en-US" w:eastAsia="zh-CN"/>
              </w:rPr>
              <w:t>Existing mechanism is sufficient.</w:t>
            </w:r>
          </w:p>
        </w:tc>
      </w:tr>
    </w:tbl>
    <w:p w14:paraId="5458DC28" w14:textId="77777777" w:rsidR="008315A9" w:rsidRDefault="008315A9">
      <w:pPr>
        <w:rPr>
          <w:lang w:eastAsia="sv-SE"/>
        </w:rPr>
      </w:pPr>
    </w:p>
    <w:p w14:paraId="6D8B8995" w14:textId="74FF8B58" w:rsidR="008A6566" w:rsidRDefault="008A6566" w:rsidP="008A6566">
      <w:pPr>
        <w:pStyle w:val="Proposal"/>
        <w:rPr>
          <w:lang w:eastAsia="sv-SE"/>
        </w:rPr>
      </w:pPr>
      <w:r>
        <w:rPr>
          <w:lang w:eastAsia="sv-SE"/>
        </w:rPr>
        <w:t>Existing mechanisms are sufficient to associate the ISA with relevant neighbour frequencies to perform MBS frequency prioritization (3/4).</w:t>
      </w:r>
    </w:p>
    <w:p w14:paraId="5F63564B" w14:textId="77777777" w:rsidR="008A6566" w:rsidRDefault="008A6566">
      <w:pPr>
        <w:rPr>
          <w:lang w:eastAsia="sv-SE"/>
        </w:rPr>
      </w:pPr>
    </w:p>
    <w:p w14:paraId="7002D527" w14:textId="77777777" w:rsidR="008315A9" w:rsidRDefault="00414792">
      <w:pPr>
        <w:rPr>
          <w:b/>
          <w:bCs/>
          <w:u w:val="single"/>
          <w:lang w:eastAsia="sv-SE"/>
        </w:rPr>
      </w:pPr>
      <w:r>
        <w:rPr>
          <w:b/>
          <w:bCs/>
          <w:u w:val="single"/>
          <w:lang w:eastAsia="sv-SE"/>
        </w:rPr>
        <w:t>Signalling details</w:t>
      </w:r>
    </w:p>
    <w:p w14:paraId="37B82537" w14:textId="77777777" w:rsidR="008315A9" w:rsidRDefault="00414792">
      <w:r>
        <w:t xml:space="preserve">RAN2 and SA4 have chosen different representations of the Intended Service Area in System Information and Service Announcement, respectively. SA4 has specified that the ISA within the Service Announcement should be represented using either the Polygon or </w:t>
      </w:r>
      <w:r>
        <w:rPr>
          <w:i/>
          <w:iCs/>
        </w:rPr>
        <w:t>PointUncertaintyCircle</w:t>
      </w:r>
      <w:r>
        <w:t xml:space="preserve"> formats as defined in TS 29.572 [S4-251482]. In parallel, RAN2 has adopted a circular representation based on </w:t>
      </w:r>
      <w:r>
        <w:rPr>
          <w:i/>
          <w:iCs/>
        </w:rPr>
        <w:t>referenceLocation</w:t>
      </w:r>
      <w:r>
        <w:t xml:space="preserve"> and </w:t>
      </w:r>
      <w:r>
        <w:rPr>
          <w:i/>
          <w:iCs/>
        </w:rPr>
        <w:t>distanceRadius</w:t>
      </w:r>
      <w:r>
        <w:t xml:space="preserve"> directly specified in RRC, alongside the </w:t>
      </w:r>
      <w:r>
        <w:rPr>
          <w:i/>
          <w:iCs/>
        </w:rPr>
        <w:t>Polygon</w:t>
      </w:r>
      <w:r>
        <w:t xml:space="preserve"> shape defined in TS 23.032 and TS 37.355.</w:t>
      </w:r>
    </w:p>
    <w:p w14:paraId="2E788620" w14:textId="77777777" w:rsidR="008315A9" w:rsidRDefault="00414792">
      <w:r>
        <w:t xml:space="preserve">Given that both approaches convey equivalent geospatial information, it is better to harmonize the specification by adopting the </w:t>
      </w:r>
      <w:r>
        <w:rPr>
          <w:i/>
          <w:iCs/>
        </w:rPr>
        <w:t>Ellipsoid-PointWithUncertaintyCircle</w:t>
      </w:r>
      <w:r>
        <w:t>, as defined in TS 37.355, for the circular ISA representation.</w:t>
      </w:r>
    </w:p>
    <w:p w14:paraId="60BE369D" w14:textId="347BD6FF" w:rsidR="008315A9" w:rsidRDefault="00414792">
      <w:r>
        <w:t xml:space="preserve">There is a small difference in the range of values supported. The current </w:t>
      </w:r>
      <w:r>
        <w:rPr>
          <w:i/>
          <w:iCs/>
        </w:rPr>
        <w:t>distanceRadius</w:t>
      </w:r>
      <w:r>
        <w:t xml:space="preserve"> is a 16-bit field supporting values between 0 and </w:t>
      </w:r>
      <w:r w:rsidR="00733229">
        <w:t>3</w:t>
      </w:r>
      <w:r>
        <w:t xml:space="preserve">000 kilometres. In contrast, the </w:t>
      </w:r>
      <w:r>
        <w:rPr>
          <w:i/>
          <w:iCs/>
        </w:rPr>
        <w:t>Ellipsoid-PointWithUncertaintyCircle</w:t>
      </w:r>
      <w:r>
        <w:t xml:space="preserve"> has an uncertainty of 7 bits with a suitably useful range between 0 and 1800 kilometres. According to TS 23.032, this uncertainty is expressed in metres and follows this formula (K=127 since 7 bits are used for the encoding):</w:t>
      </w:r>
    </w:p>
    <w:p w14:paraId="7C421FB0" w14:textId="77777777" w:rsidR="008315A9" w:rsidRDefault="00414792">
      <w:pPr>
        <w:jc w:val="center"/>
      </w:pPr>
      <w:r>
        <w:rPr>
          <w:position w:val="-10"/>
        </w:rPr>
        <w:object w:dxaOrig="1710" w:dyaOrig="380" w14:anchorId="412A7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9pt" o:ole="">
            <v:imagedata r:id="rId11" o:title=""/>
          </v:shape>
          <o:OLEObject Type="Embed" ProgID="Equation" ShapeID="_x0000_i1025" DrawAspect="Content" ObjectID="_1816699242" r:id="rId12"/>
        </w:object>
      </w:r>
    </w:p>
    <w:p w14:paraId="0FC6B068" w14:textId="77777777" w:rsidR="008315A9" w:rsidRDefault="00414792">
      <w:r>
        <w:lastRenderedPageBreak/>
        <w:t>Provided the nature of the MBS enhancement, the rapporteur understands that the difference is not significant (</w:t>
      </w:r>
      <w:r>
        <w:rPr>
          <w:i/>
          <w:iCs/>
        </w:rPr>
        <w:t>Ellipsoid-PointWithUncertaintyCircle</w:t>
      </w:r>
      <w:r>
        <w:t xml:space="preserve"> consumes 9 bits less) in comparison to maintain the specifications clean and aligned across working groups. An illustrative ASN.1 definition for this proposal is provided below.</w:t>
      </w:r>
    </w:p>
    <w:p w14:paraId="546A36DC" w14:textId="77777777" w:rsidR="008315A9" w:rsidRDefault="008315A9"/>
    <w:p w14:paraId="09C76ECA" w14:textId="77777777" w:rsidR="008315A9" w:rsidRDefault="00414792">
      <w:pPr>
        <w:keepNext/>
        <w:keepLines/>
        <w:spacing w:before="60"/>
        <w:jc w:val="center"/>
        <w:rPr>
          <w:rFonts w:eastAsia="Times New Roman" w:cs="Arial"/>
          <w:bCs/>
          <w:iCs/>
        </w:rPr>
      </w:pPr>
      <w:r>
        <w:rPr>
          <w:rFonts w:eastAsia="Times New Roman" w:cs="Arial"/>
          <w:b/>
          <w:bCs/>
          <w:i/>
          <w:iCs/>
        </w:rPr>
        <w:t xml:space="preserve">SIBXX </w:t>
      </w:r>
      <w:r>
        <w:rPr>
          <w:rFonts w:eastAsia="Times New Roman" w:cs="Arial"/>
          <w:b/>
        </w:rPr>
        <w:t>information</w:t>
      </w:r>
      <w:r>
        <w:rPr>
          <w:rFonts w:eastAsia="Times New Roman" w:cs="Arial"/>
          <w:b/>
          <w:bCs/>
          <w:iCs/>
        </w:rPr>
        <w:t xml:space="preserve"> element</w:t>
      </w:r>
    </w:p>
    <w:p w14:paraId="42F1FF31"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color w:val="808080"/>
          <w:sz w:val="16"/>
        </w:rPr>
        <w:t>-- ASN1START</w:t>
      </w:r>
    </w:p>
    <w:p w14:paraId="58D7E366"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color w:val="808080"/>
          <w:sz w:val="16"/>
        </w:rPr>
        <w:t>-- TAG-SIBXX-START</w:t>
      </w:r>
    </w:p>
    <w:p w14:paraId="6D3BAFC5" w14:textId="77777777" w:rsidR="008315A9" w:rsidRDefault="008315A9">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25D3121A"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SIBXX-r</w:t>
      </w:r>
      <w:proofErr w:type="gramStart"/>
      <w:r>
        <w:rPr>
          <w:rFonts w:ascii="Courier New" w:eastAsia="Times New Roman" w:hAnsi="Courier New" w:cs="Courier New"/>
          <w:sz w:val="16"/>
        </w:rPr>
        <w:t>19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2D6A3AE6"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intendedServiceAreaList-r19     IntendedServiceAreaList-r19      </w:t>
      </w:r>
      <w:proofErr w:type="gramStart"/>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w:t>
      </w:r>
      <w:proofErr w:type="gramEnd"/>
      <w:r>
        <w:rPr>
          <w:rFonts w:ascii="Courier New" w:eastAsia="Times New Roman" w:hAnsi="Courier New" w:cs="Courier New"/>
          <w:color w:val="808080"/>
          <w:sz w:val="16"/>
        </w:rPr>
        <w:t xml:space="preserve"> Need R</w:t>
      </w:r>
    </w:p>
    <w:p w14:paraId="5F626005"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lateNonCriticalExtension        </w:t>
      </w:r>
      <w:r>
        <w:rPr>
          <w:rFonts w:ascii="Courier New" w:eastAsia="Times New Roman" w:hAnsi="Courier New" w:cs="Courier New"/>
          <w:color w:val="993366"/>
          <w:sz w:val="16"/>
        </w:rPr>
        <w:t>OCTET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C0A912E"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1C708B19"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w:t>
      </w:r>
    </w:p>
    <w:p w14:paraId="2494FB73" w14:textId="77777777" w:rsidR="008315A9" w:rsidRDefault="008315A9">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027F3B8E"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IntendedServiceAreaList-r</w:t>
      </w:r>
      <w:proofErr w:type="gramStart"/>
      <w:r>
        <w:rPr>
          <w:rFonts w:ascii="Courier New" w:eastAsia="Times New Roman" w:hAnsi="Courier New" w:cs="Courier New"/>
          <w:sz w:val="16"/>
        </w:rPr>
        <w:t>19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 xml:space="preserve"> maxNrofMBS-Area-r19))</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IntendedServiceAreaInfo-r19</w:t>
      </w:r>
    </w:p>
    <w:p w14:paraId="661C62B7" w14:textId="77777777" w:rsidR="008315A9" w:rsidRDefault="008315A9">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6A040629"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IntendedServiceAreaInfo-r</w:t>
      </w:r>
      <w:proofErr w:type="gramStart"/>
      <w:r>
        <w:rPr>
          <w:rFonts w:ascii="Courier New" w:eastAsia="Times New Roman" w:hAnsi="Courier New" w:cs="Courier New"/>
          <w:sz w:val="16"/>
        </w:rPr>
        <w:t>19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376D3128"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intendedServiceAreaId-r19       MBS-IntendedAreaID-r19,</w:t>
      </w:r>
    </w:p>
    <w:p w14:paraId="73039256"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highlight w:val="yellow"/>
        </w:rPr>
      </w:pPr>
      <w:r>
        <w:rPr>
          <w:rFonts w:ascii="Courier New" w:hAnsi="Courier New" w:cs="Courier New"/>
          <w:sz w:val="16"/>
        </w:rPr>
        <w:t xml:space="preserve">    </w:t>
      </w:r>
      <w:r>
        <w:rPr>
          <w:rFonts w:ascii="Courier New" w:hAnsi="Courier New" w:cs="Courier New"/>
          <w:sz w:val="16"/>
          <w:highlight w:val="yellow"/>
        </w:rPr>
        <w:t xml:space="preserve">areaCoordinates-r19             </w:t>
      </w:r>
      <w:r>
        <w:rPr>
          <w:rFonts w:ascii="Courier New" w:hAnsi="Courier New" w:cs="Courier New"/>
          <w:color w:val="993366"/>
          <w:sz w:val="16"/>
          <w:highlight w:val="yellow"/>
        </w:rPr>
        <w:t>CHOICE</w:t>
      </w:r>
      <w:r>
        <w:rPr>
          <w:rFonts w:ascii="Courier New" w:hAnsi="Courier New" w:cs="Courier New"/>
          <w:sz w:val="16"/>
          <w:highlight w:val="yellow"/>
        </w:rPr>
        <w:t xml:space="preserve"> {</w:t>
      </w:r>
    </w:p>
    <w:p w14:paraId="6B11E008"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highlight w:val="yellow"/>
        </w:rPr>
      </w:pPr>
      <w:r>
        <w:rPr>
          <w:rFonts w:ascii="Courier New" w:hAnsi="Courier New" w:cs="Courier New"/>
          <w:sz w:val="16"/>
          <w:highlight w:val="yellow"/>
        </w:rPr>
        <w:t xml:space="preserve">        polygonArea-r19                   </w:t>
      </w:r>
      <w:r>
        <w:rPr>
          <w:rFonts w:ascii="Courier New" w:hAnsi="Courier New" w:cs="Courier New"/>
          <w:color w:val="993366"/>
          <w:sz w:val="16"/>
          <w:highlight w:val="yellow"/>
        </w:rPr>
        <w:t>OCTET</w:t>
      </w:r>
      <w:r>
        <w:rPr>
          <w:rFonts w:ascii="Courier New" w:hAnsi="Courier New" w:cs="Courier New"/>
          <w:sz w:val="16"/>
          <w:highlight w:val="yellow"/>
        </w:rPr>
        <w:t xml:space="preserve"> </w:t>
      </w:r>
      <w:r>
        <w:rPr>
          <w:rFonts w:ascii="Courier New" w:hAnsi="Courier New" w:cs="Courier New"/>
          <w:color w:val="993366"/>
          <w:sz w:val="16"/>
          <w:highlight w:val="yellow"/>
        </w:rPr>
        <w:t>STRING</w:t>
      </w:r>
      <w:r>
        <w:rPr>
          <w:rFonts w:ascii="Courier New" w:hAnsi="Courier New" w:cs="Courier New"/>
          <w:sz w:val="16"/>
          <w:highlight w:val="yellow"/>
        </w:rPr>
        <w:t>,</w:t>
      </w:r>
    </w:p>
    <w:p w14:paraId="27CC773D"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highlight w:val="yellow"/>
          <w:lang w:val="sv-SE"/>
        </w:rPr>
      </w:pPr>
      <w:r>
        <w:rPr>
          <w:rFonts w:ascii="Courier New" w:hAnsi="Courier New" w:cs="Courier New"/>
          <w:sz w:val="16"/>
          <w:highlight w:val="yellow"/>
        </w:rPr>
        <w:t xml:space="preserve">        circleArea-r19                    </w:t>
      </w:r>
      <w:r>
        <w:rPr>
          <w:rFonts w:ascii="Courier New" w:hAnsi="Courier New" w:cs="Courier New"/>
          <w:color w:val="993366"/>
          <w:sz w:val="16"/>
          <w:highlight w:val="yellow"/>
        </w:rPr>
        <w:t>OCTET</w:t>
      </w:r>
      <w:r>
        <w:rPr>
          <w:rFonts w:ascii="Courier New" w:hAnsi="Courier New" w:cs="Courier New"/>
          <w:sz w:val="16"/>
          <w:highlight w:val="yellow"/>
        </w:rPr>
        <w:t xml:space="preserve"> </w:t>
      </w:r>
      <w:r>
        <w:rPr>
          <w:rFonts w:ascii="Courier New" w:hAnsi="Courier New" w:cs="Courier New"/>
          <w:color w:val="993366"/>
          <w:sz w:val="16"/>
          <w:highlight w:val="yellow"/>
        </w:rPr>
        <w:t>STRING</w:t>
      </w:r>
    </w:p>
    <w:p w14:paraId="6A071B07"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rPr>
      </w:pPr>
      <w:r>
        <w:rPr>
          <w:rFonts w:ascii="Courier New" w:hAnsi="Courier New" w:cs="Courier New"/>
          <w:sz w:val="16"/>
          <w:highlight w:val="yellow"/>
          <w:lang w:val="sv-SE"/>
        </w:rPr>
        <w:t xml:space="preserve">    }</w:t>
      </w:r>
    </w:p>
    <w:p w14:paraId="2DA4BA67"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rPr>
      </w:pPr>
      <w:r>
        <w:rPr>
          <w:rFonts w:ascii="Courier New" w:eastAsia="Times New Roman" w:hAnsi="Courier New" w:cs="Courier New"/>
          <w:sz w:val="16"/>
          <w:lang w:val="sv-SE"/>
        </w:rPr>
        <w:t>}</w:t>
      </w:r>
    </w:p>
    <w:p w14:paraId="238FD99C" w14:textId="77777777" w:rsidR="008315A9" w:rsidRDefault="008315A9">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rPr>
      </w:pPr>
    </w:p>
    <w:p w14:paraId="609C077E"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MBS-IntendedAreaID-r</w:t>
      </w:r>
      <w:proofErr w:type="gramStart"/>
      <w:r>
        <w:rPr>
          <w:rFonts w:ascii="Courier New" w:eastAsia="Times New Roman" w:hAnsi="Courier New" w:cs="Courier New"/>
          <w:sz w:val="16"/>
        </w:rPr>
        <w:t>19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INTEGER</w:t>
      </w:r>
      <w:r>
        <w:rPr>
          <w:rFonts w:ascii="Courier New" w:eastAsia="Times New Roman" w:hAnsi="Courier New" w:cs="Courier New"/>
          <w:sz w:val="16"/>
        </w:rPr>
        <w:t xml:space="preserve"> (</w:t>
      </w:r>
      <w:proofErr w:type="gramStart"/>
      <w:r>
        <w:rPr>
          <w:rFonts w:ascii="Courier New" w:eastAsia="Times New Roman" w:hAnsi="Courier New" w:cs="Courier New"/>
          <w:sz w:val="16"/>
        </w:rPr>
        <w:t>0..</w:t>
      </w:r>
      <w:proofErr w:type="gramEnd"/>
      <w:r>
        <w:rPr>
          <w:rFonts w:ascii="Courier New" w:eastAsia="Times New Roman" w:hAnsi="Courier New" w:cs="Courier New"/>
          <w:sz w:val="16"/>
        </w:rPr>
        <w:t xml:space="preserve"> maxNrofMBS-Area-r19)</w:t>
      </w:r>
    </w:p>
    <w:p w14:paraId="5CD85419" w14:textId="77777777" w:rsidR="008315A9" w:rsidRDefault="008315A9">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rPr>
      </w:pPr>
    </w:p>
    <w:p w14:paraId="721F2F6D"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sv-SE"/>
        </w:rPr>
      </w:pPr>
      <w:r>
        <w:rPr>
          <w:rFonts w:ascii="Courier New" w:eastAsia="Times New Roman" w:hAnsi="Courier New" w:cs="Courier New"/>
          <w:color w:val="808080"/>
          <w:sz w:val="16"/>
          <w:lang w:val="sv-SE"/>
        </w:rPr>
        <w:t>-- TAG-SIBXX-STOP</w:t>
      </w:r>
    </w:p>
    <w:p w14:paraId="316B5B77" w14:textId="77777777" w:rsidR="008315A9" w:rsidRDefault="0041479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color w:val="808080"/>
          <w:sz w:val="16"/>
        </w:rPr>
        <w:t>-- ASN1STOP</w:t>
      </w:r>
    </w:p>
    <w:p w14:paraId="7EA0A93C" w14:textId="77777777" w:rsidR="008315A9" w:rsidRDefault="008315A9">
      <w:pPr>
        <w:rPr>
          <w:rFonts w:eastAsia="Times New Roman"/>
          <w:lang w:eastAsia="en-GB"/>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55"/>
      </w:tblGrid>
      <w:tr w:rsidR="008315A9" w14:paraId="57541567"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74896E29" w14:textId="77777777" w:rsidR="008315A9" w:rsidRDefault="00414792">
            <w:pPr>
              <w:keepNext/>
              <w:keepLines/>
              <w:spacing w:after="0"/>
              <w:jc w:val="center"/>
              <w:rPr>
                <w:rFonts w:eastAsia="Times New Roman" w:cs="Arial"/>
                <w:sz w:val="18"/>
              </w:rPr>
            </w:pPr>
            <w:r>
              <w:rPr>
                <w:rFonts w:eastAsia="Times New Roman" w:cs="Arial"/>
                <w:b/>
                <w:i/>
                <w:iCs/>
                <w:sz w:val="18"/>
              </w:rPr>
              <w:t xml:space="preserve">SIBXX </w:t>
            </w:r>
            <w:r>
              <w:rPr>
                <w:rFonts w:eastAsia="Times New Roman" w:cs="Arial"/>
                <w:b/>
                <w:sz w:val="18"/>
              </w:rPr>
              <w:t>field</w:t>
            </w:r>
            <w:r>
              <w:rPr>
                <w:rFonts w:eastAsia="Times New Roman" w:cs="Arial"/>
                <w:b/>
                <w:iCs/>
                <w:sz w:val="18"/>
              </w:rPr>
              <w:t xml:space="preserve"> descriptions</w:t>
            </w:r>
          </w:p>
        </w:tc>
      </w:tr>
      <w:tr w:rsidR="008315A9" w14:paraId="3536E592"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4FC5E9A8" w14:textId="77777777" w:rsidR="008315A9" w:rsidRDefault="00414792">
            <w:pPr>
              <w:keepNext/>
              <w:keepLines/>
              <w:spacing w:after="0"/>
              <w:rPr>
                <w:rFonts w:eastAsia="Times New Roman" w:cs="Arial"/>
                <w:b/>
                <w:bCs/>
                <w:i/>
                <w:sz w:val="18"/>
                <w:lang w:eastAsia="en-GB"/>
              </w:rPr>
            </w:pPr>
            <w:r>
              <w:rPr>
                <w:rFonts w:eastAsia="Times New Roman" w:cs="Arial"/>
                <w:b/>
                <w:bCs/>
                <w:i/>
                <w:sz w:val="18"/>
                <w:lang w:eastAsia="en-GB"/>
              </w:rPr>
              <w:t>intendedServiceAreaList</w:t>
            </w:r>
          </w:p>
          <w:p w14:paraId="76A1B8AE" w14:textId="77777777" w:rsidR="008315A9" w:rsidRDefault="00414792">
            <w:pPr>
              <w:keepNext/>
              <w:keepLines/>
              <w:spacing w:after="0"/>
              <w:rPr>
                <w:rFonts w:eastAsia="Times New Roman" w:cs="Arial"/>
                <w:b/>
                <w:bCs/>
                <w:i/>
                <w:sz w:val="18"/>
                <w:lang w:eastAsia="en-GB"/>
              </w:rPr>
            </w:pPr>
            <w:r>
              <w:rPr>
                <w:rFonts w:eastAsia="Times New Roman" w:cs="Arial"/>
                <w:snapToGrid w:val="0"/>
                <w:sz w:val="18"/>
                <w:lang w:eastAsia="en-GB"/>
              </w:rPr>
              <w:t>Contains a list of intended service areas, each associated to one or more MBS broadcast services provided in an NTN cell.</w:t>
            </w:r>
          </w:p>
        </w:tc>
      </w:tr>
      <w:tr w:rsidR="008315A9" w14:paraId="358E9EBF"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1611DD58" w14:textId="77777777" w:rsidR="008315A9" w:rsidRDefault="00414792">
            <w:pPr>
              <w:keepNext/>
              <w:keepLines/>
              <w:spacing w:after="0"/>
              <w:rPr>
                <w:rFonts w:eastAsia="Times New Roman" w:cs="Arial"/>
                <w:b/>
                <w:bCs/>
                <w:i/>
                <w:sz w:val="18"/>
                <w:lang w:eastAsia="en-GB"/>
              </w:rPr>
            </w:pPr>
            <w:r>
              <w:rPr>
                <w:rFonts w:eastAsia="Times New Roman" w:cs="Arial"/>
                <w:b/>
                <w:bCs/>
                <w:i/>
                <w:sz w:val="18"/>
                <w:lang w:eastAsia="en-GB"/>
              </w:rPr>
              <w:t>polygonArea</w:t>
            </w:r>
          </w:p>
          <w:p w14:paraId="46654180" w14:textId="77777777" w:rsidR="008315A9" w:rsidRDefault="00414792">
            <w:pPr>
              <w:keepNext/>
              <w:keepLines/>
              <w:spacing w:after="0"/>
              <w:rPr>
                <w:rFonts w:eastAsia="Times New Roman" w:cs="Arial"/>
                <w:iCs/>
                <w:sz w:val="18"/>
                <w:lang w:eastAsia="en-GB"/>
              </w:rPr>
            </w:pPr>
            <w:r>
              <w:rPr>
                <w:rFonts w:eastAsia="Times New Roman" w:cs="Arial"/>
                <w:iCs/>
                <w:sz w:val="18"/>
                <w:lang w:eastAsia="en-GB"/>
              </w:rPr>
              <w:t xml:space="preserve">Contains the </w:t>
            </w:r>
            <w:r>
              <w:rPr>
                <w:rFonts w:eastAsia="Times New Roman" w:cs="Arial"/>
                <w:i/>
                <w:sz w:val="18"/>
                <w:lang w:eastAsia="en-GB"/>
              </w:rPr>
              <w:t>Polygon</w:t>
            </w:r>
            <w:r>
              <w:rPr>
                <w:rFonts w:eastAsia="Times New Roman" w:cs="Arial"/>
                <w:iCs/>
                <w:sz w:val="18"/>
                <w:lang w:eastAsia="en-GB"/>
              </w:rPr>
              <w:t xml:space="preserve"> IE as defined in TS 37.355 [49]. The first/leftmost bit of the first octet contains the most significant bit.</w:t>
            </w:r>
          </w:p>
        </w:tc>
      </w:tr>
      <w:tr w:rsidR="008315A9" w14:paraId="0B9BDC76"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3B6CD7A9" w14:textId="77777777" w:rsidR="008315A9" w:rsidRDefault="00414792">
            <w:pPr>
              <w:keepNext/>
              <w:keepLines/>
              <w:spacing w:after="0"/>
              <w:rPr>
                <w:rFonts w:eastAsia="Times New Roman" w:cs="Arial"/>
                <w:b/>
                <w:bCs/>
                <w:i/>
                <w:sz w:val="18"/>
                <w:highlight w:val="yellow"/>
                <w:lang w:eastAsia="en-GB"/>
              </w:rPr>
            </w:pPr>
            <w:r>
              <w:rPr>
                <w:rFonts w:eastAsia="Times New Roman" w:cs="Arial"/>
                <w:b/>
                <w:bCs/>
                <w:i/>
                <w:sz w:val="18"/>
                <w:highlight w:val="yellow"/>
                <w:lang w:eastAsia="en-GB"/>
              </w:rPr>
              <w:t>circleArea</w:t>
            </w:r>
          </w:p>
          <w:p w14:paraId="599A32CE" w14:textId="77777777" w:rsidR="008315A9" w:rsidRDefault="00414792">
            <w:pPr>
              <w:keepNext/>
              <w:keepLines/>
              <w:spacing w:after="0"/>
              <w:rPr>
                <w:rFonts w:eastAsia="Times New Roman" w:cs="Arial"/>
                <w:iCs/>
                <w:sz w:val="18"/>
                <w:lang w:eastAsia="en-GB"/>
              </w:rPr>
            </w:pPr>
            <w:r>
              <w:rPr>
                <w:rFonts w:eastAsia="Times New Roman" w:cs="Arial"/>
                <w:iCs/>
                <w:sz w:val="18"/>
                <w:highlight w:val="yellow"/>
                <w:lang w:eastAsia="en-GB"/>
              </w:rPr>
              <w:t xml:space="preserve">Contains the </w:t>
            </w:r>
            <w:r>
              <w:rPr>
                <w:rFonts w:eastAsia="Times New Roman" w:cs="Arial"/>
                <w:i/>
                <w:sz w:val="18"/>
                <w:highlight w:val="yellow"/>
                <w:lang w:eastAsia="en-GB"/>
              </w:rPr>
              <w:t>Ellipsoid-PointWithUncertaintyCircle</w:t>
            </w:r>
            <w:r>
              <w:rPr>
                <w:rFonts w:eastAsia="Times New Roman" w:cs="Arial"/>
                <w:iCs/>
                <w:sz w:val="18"/>
                <w:highlight w:val="yellow"/>
                <w:lang w:eastAsia="en-GB"/>
              </w:rPr>
              <w:t xml:space="preserve"> IE as defined in TS 37.355 [49]. The first/leftmost bit of the first octet contains the most significant bit.</w:t>
            </w:r>
          </w:p>
        </w:tc>
      </w:tr>
    </w:tbl>
    <w:p w14:paraId="75654340" w14:textId="77777777" w:rsidR="008315A9" w:rsidRDefault="008315A9">
      <w:pPr>
        <w:rPr>
          <w:lang w:eastAsia="sv-SE"/>
        </w:rPr>
      </w:pPr>
    </w:p>
    <w:p w14:paraId="48D1EAC8" w14:textId="77777777" w:rsidR="008315A9" w:rsidRDefault="00414792">
      <w:pPr>
        <w:rPr>
          <w:b/>
          <w:bCs/>
        </w:rPr>
      </w:pPr>
      <w:r>
        <w:rPr>
          <w:b/>
          <w:bCs/>
          <w:lang w:eastAsia="sv-SE"/>
        </w:rPr>
        <w:t xml:space="preserve">Question 4: </w:t>
      </w:r>
      <w:bookmarkStart w:id="1" w:name="_Toc204782218"/>
      <w:r>
        <w:rPr>
          <w:b/>
          <w:bCs/>
        </w:rPr>
        <w:t>Whether RAN2 should use the Ellipsoid Point with uncertainty Circle from TS 37.355 to define the circle shape of the ISA in the new SIBXX.</w:t>
      </w:r>
      <w:bookmarkEnd w:id="1"/>
    </w:p>
    <w:tbl>
      <w:tblPr>
        <w:tblStyle w:val="TableGrid"/>
        <w:tblW w:w="0" w:type="auto"/>
        <w:tblLook w:val="04A0" w:firstRow="1" w:lastRow="0" w:firstColumn="1" w:lastColumn="0" w:noHBand="0" w:noVBand="1"/>
      </w:tblPr>
      <w:tblGrid>
        <w:gridCol w:w="1615"/>
        <w:gridCol w:w="1170"/>
        <w:gridCol w:w="6844"/>
      </w:tblGrid>
      <w:tr w:rsidR="008315A9" w14:paraId="34F80EBA" w14:textId="77777777">
        <w:tc>
          <w:tcPr>
            <w:tcW w:w="1615" w:type="dxa"/>
            <w:shd w:val="clear" w:color="auto" w:fill="E7E6E6" w:themeFill="background2"/>
            <w:vAlign w:val="center"/>
          </w:tcPr>
          <w:p w14:paraId="3828D04D" w14:textId="77777777" w:rsidR="008315A9" w:rsidRDefault="00414792">
            <w:pPr>
              <w:jc w:val="center"/>
              <w:rPr>
                <w:rFonts w:eastAsia="Calibri"/>
                <w:b/>
                <w:bCs/>
                <w:lang w:eastAsia="sv-SE"/>
              </w:rPr>
            </w:pPr>
            <w:r>
              <w:rPr>
                <w:rFonts w:eastAsia="Calibri"/>
                <w:b/>
                <w:bCs/>
                <w:lang w:eastAsia="sv-SE"/>
              </w:rPr>
              <w:t>Company</w:t>
            </w:r>
          </w:p>
        </w:tc>
        <w:tc>
          <w:tcPr>
            <w:tcW w:w="1170" w:type="dxa"/>
            <w:shd w:val="clear" w:color="auto" w:fill="E7E6E6" w:themeFill="background2"/>
            <w:vAlign w:val="center"/>
          </w:tcPr>
          <w:p w14:paraId="10CBE50E" w14:textId="77777777" w:rsidR="008315A9" w:rsidRDefault="00414792">
            <w:pPr>
              <w:jc w:val="center"/>
              <w:rPr>
                <w:rFonts w:eastAsia="Calibri"/>
                <w:b/>
                <w:bCs/>
                <w:lang w:eastAsia="sv-SE"/>
              </w:rPr>
            </w:pPr>
            <w:r>
              <w:rPr>
                <w:rFonts w:eastAsia="Calibri"/>
                <w:b/>
                <w:bCs/>
                <w:lang w:eastAsia="sv-SE"/>
              </w:rPr>
              <w:t>Yes/No</w:t>
            </w:r>
          </w:p>
        </w:tc>
        <w:tc>
          <w:tcPr>
            <w:tcW w:w="6844" w:type="dxa"/>
            <w:shd w:val="clear" w:color="auto" w:fill="E7E6E6" w:themeFill="background2"/>
            <w:vAlign w:val="center"/>
          </w:tcPr>
          <w:p w14:paraId="791EFDB5" w14:textId="77777777" w:rsidR="008315A9" w:rsidRDefault="00414792">
            <w:pPr>
              <w:jc w:val="center"/>
              <w:rPr>
                <w:rFonts w:eastAsia="Calibri"/>
                <w:b/>
                <w:bCs/>
                <w:lang w:eastAsia="sv-SE"/>
              </w:rPr>
            </w:pPr>
            <w:r>
              <w:rPr>
                <w:rFonts w:eastAsia="Calibri"/>
                <w:b/>
                <w:bCs/>
                <w:lang w:eastAsia="sv-SE"/>
              </w:rPr>
              <w:t>Comments</w:t>
            </w:r>
          </w:p>
        </w:tc>
      </w:tr>
      <w:tr w:rsidR="008315A9" w14:paraId="39EEF921" w14:textId="77777777">
        <w:tc>
          <w:tcPr>
            <w:tcW w:w="1615" w:type="dxa"/>
            <w:vAlign w:val="center"/>
          </w:tcPr>
          <w:p w14:paraId="2B59C6B8" w14:textId="77777777" w:rsidR="008315A9" w:rsidRDefault="00414792">
            <w:pPr>
              <w:jc w:val="center"/>
              <w:rPr>
                <w:rFonts w:eastAsia="Calibri"/>
              </w:rPr>
            </w:pPr>
            <w:r>
              <w:rPr>
                <w:rFonts w:eastAsia="Calibri"/>
              </w:rPr>
              <w:t>Ericsson</w:t>
            </w:r>
          </w:p>
        </w:tc>
        <w:tc>
          <w:tcPr>
            <w:tcW w:w="1170" w:type="dxa"/>
            <w:vAlign w:val="center"/>
          </w:tcPr>
          <w:p w14:paraId="2E294FD2" w14:textId="77777777" w:rsidR="008315A9" w:rsidRDefault="00414792">
            <w:pPr>
              <w:jc w:val="center"/>
              <w:rPr>
                <w:rFonts w:eastAsia="Calibri"/>
              </w:rPr>
            </w:pPr>
            <w:r>
              <w:rPr>
                <w:rFonts w:eastAsia="Calibri"/>
              </w:rPr>
              <w:t>Yes</w:t>
            </w:r>
          </w:p>
        </w:tc>
        <w:tc>
          <w:tcPr>
            <w:tcW w:w="6844" w:type="dxa"/>
            <w:vAlign w:val="center"/>
          </w:tcPr>
          <w:p w14:paraId="01E7F001" w14:textId="77777777" w:rsidR="008315A9" w:rsidRDefault="00414792">
            <w:pPr>
              <w:rPr>
                <w:rFonts w:eastAsia="Calibri"/>
              </w:rPr>
            </w:pPr>
            <w:r>
              <w:rPr>
                <w:rFonts w:eastAsia="Calibri"/>
              </w:rPr>
              <w:t>We consider it is important to harmonize the specifications to avoid implementation issues.</w:t>
            </w:r>
          </w:p>
        </w:tc>
      </w:tr>
      <w:tr w:rsidR="008315A9" w14:paraId="6026395F" w14:textId="77777777">
        <w:tc>
          <w:tcPr>
            <w:tcW w:w="1615" w:type="dxa"/>
            <w:vAlign w:val="center"/>
          </w:tcPr>
          <w:p w14:paraId="1FD84B9F" w14:textId="77777777" w:rsidR="008315A9" w:rsidRDefault="00414792">
            <w:pPr>
              <w:jc w:val="center"/>
              <w:rPr>
                <w:rFonts w:eastAsia="Calibri"/>
              </w:rPr>
            </w:pPr>
            <w:r>
              <w:rPr>
                <w:rFonts w:eastAsia="Calibri"/>
              </w:rPr>
              <w:t>vivo</w:t>
            </w:r>
          </w:p>
        </w:tc>
        <w:tc>
          <w:tcPr>
            <w:tcW w:w="1170" w:type="dxa"/>
            <w:vAlign w:val="center"/>
          </w:tcPr>
          <w:p w14:paraId="47D9DB11" w14:textId="77777777" w:rsidR="008315A9" w:rsidRDefault="00414792">
            <w:pPr>
              <w:jc w:val="center"/>
              <w:rPr>
                <w:rFonts w:eastAsia="Calibri"/>
              </w:rPr>
            </w:pPr>
            <w:r>
              <w:rPr>
                <w:rFonts w:eastAsia="Calibri"/>
              </w:rPr>
              <w:t>No</w:t>
            </w:r>
          </w:p>
        </w:tc>
        <w:tc>
          <w:tcPr>
            <w:tcW w:w="6844" w:type="dxa"/>
            <w:vAlign w:val="center"/>
          </w:tcPr>
          <w:p w14:paraId="0BB5FFE2" w14:textId="77777777" w:rsidR="008315A9" w:rsidRDefault="00414792">
            <w:pPr>
              <w:rPr>
                <w:rFonts w:eastAsia="Calibri"/>
              </w:rPr>
            </w:pPr>
            <w:r>
              <w:rPr>
                <w:rFonts w:eastAsia="Calibri"/>
              </w:rPr>
              <w:t>RAN-level SIBxx is likely to provide more accurate area information with finer configuration parameters, based on the network service deployment.</w:t>
            </w:r>
          </w:p>
        </w:tc>
      </w:tr>
      <w:tr w:rsidR="008315A9" w14:paraId="63629F24" w14:textId="77777777">
        <w:tc>
          <w:tcPr>
            <w:tcW w:w="1615" w:type="dxa"/>
            <w:shd w:val="clear" w:color="auto" w:fill="auto"/>
            <w:vAlign w:val="center"/>
          </w:tcPr>
          <w:p w14:paraId="3573DB29" w14:textId="77777777" w:rsidR="008315A9" w:rsidRDefault="00414792">
            <w:pPr>
              <w:jc w:val="center"/>
              <w:rPr>
                <w:rFonts w:eastAsia="SimSun"/>
              </w:rPr>
            </w:pPr>
            <w:r>
              <w:rPr>
                <w:rFonts w:eastAsia="SimSun" w:hint="eastAsia"/>
                <w:lang w:val="en-US" w:eastAsia="zh-CN"/>
              </w:rPr>
              <w:lastRenderedPageBreak/>
              <w:t>CMCC</w:t>
            </w:r>
          </w:p>
        </w:tc>
        <w:tc>
          <w:tcPr>
            <w:tcW w:w="1170" w:type="dxa"/>
            <w:shd w:val="clear" w:color="auto" w:fill="auto"/>
            <w:vAlign w:val="center"/>
          </w:tcPr>
          <w:p w14:paraId="38AB9215" w14:textId="77777777" w:rsidR="008315A9" w:rsidRDefault="00414792">
            <w:pPr>
              <w:jc w:val="center"/>
              <w:rPr>
                <w:rFonts w:eastAsia="SimSun"/>
              </w:rPr>
            </w:pPr>
            <w:r>
              <w:rPr>
                <w:rFonts w:eastAsia="SimSun" w:hint="eastAsia"/>
                <w:lang w:val="en-US" w:eastAsia="zh-CN"/>
              </w:rPr>
              <w:t>No</w:t>
            </w:r>
          </w:p>
        </w:tc>
        <w:tc>
          <w:tcPr>
            <w:tcW w:w="6844" w:type="dxa"/>
            <w:shd w:val="clear" w:color="auto" w:fill="auto"/>
            <w:vAlign w:val="center"/>
          </w:tcPr>
          <w:p w14:paraId="290FEF78" w14:textId="77777777" w:rsidR="008315A9" w:rsidRDefault="00414792">
            <w:pPr>
              <w:rPr>
                <w:rFonts w:eastAsia="SimSun"/>
              </w:rPr>
            </w:pPr>
            <w:r>
              <w:rPr>
                <w:rFonts w:eastAsia="SimSun" w:hint="eastAsia"/>
                <w:lang w:val="en-US" w:eastAsia="zh-CN"/>
              </w:rPr>
              <w:t xml:space="preserve">Agree with vivo, RAN could provide more </w:t>
            </w:r>
            <w:r>
              <w:rPr>
                <w:rFonts w:eastAsia="Calibri"/>
              </w:rPr>
              <w:t xml:space="preserve">accurate </w:t>
            </w:r>
            <w:r>
              <w:rPr>
                <w:rFonts w:eastAsia="SimSun" w:hint="eastAsia"/>
                <w:lang w:val="en-US" w:eastAsia="zh-CN"/>
              </w:rPr>
              <w:t>information.</w:t>
            </w:r>
          </w:p>
        </w:tc>
      </w:tr>
      <w:tr w:rsidR="008315A9" w14:paraId="6D1C2890" w14:textId="77777777">
        <w:tc>
          <w:tcPr>
            <w:tcW w:w="1615" w:type="dxa"/>
            <w:vAlign w:val="center"/>
          </w:tcPr>
          <w:p w14:paraId="59800C08" w14:textId="77777777" w:rsidR="008315A9" w:rsidRDefault="008315A9">
            <w:pPr>
              <w:jc w:val="center"/>
              <w:rPr>
                <w:rFonts w:eastAsia="Calibri"/>
              </w:rPr>
            </w:pPr>
          </w:p>
        </w:tc>
        <w:tc>
          <w:tcPr>
            <w:tcW w:w="1170" w:type="dxa"/>
            <w:vAlign w:val="center"/>
          </w:tcPr>
          <w:p w14:paraId="205A7496" w14:textId="77777777" w:rsidR="008315A9" w:rsidRDefault="008315A9">
            <w:pPr>
              <w:jc w:val="center"/>
              <w:rPr>
                <w:rFonts w:eastAsia="Calibri"/>
              </w:rPr>
            </w:pPr>
          </w:p>
        </w:tc>
        <w:tc>
          <w:tcPr>
            <w:tcW w:w="6844" w:type="dxa"/>
            <w:vAlign w:val="center"/>
          </w:tcPr>
          <w:p w14:paraId="493764A0" w14:textId="77777777" w:rsidR="008315A9" w:rsidRDefault="008315A9">
            <w:pPr>
              <w:rPr>
                <w:rFonts w:eastAsia="Calibri"/>
              </w:rPr>
            </w:pPr>
          </w:p>
        </w:tc>
      </w:tr>
    </w:tbl>
    <w:p w14:paraId="6C4CFF5E" w14:textId="77777777" w:rsidR="008315A9" w:rsidRDefault="008315A9" w:rsidP="00733229"/>
    <w:p w14:paraId="60ED9815" w14:textId="271B1352" w:rsidR="008315A9" w:rsidRDefault="00D37177">
      <w:r>
        <w:t xml:space="preserve">Provided the diverging views on the adoption of the IE and the accuracy at RAN and CN levels, the rapporteur suggests continuing the discussion next meeting to </w:t>
      </w:r>
      <w:r w:rsidR="008A6566">
        <w:t>clarify the understanding regarding accuracy and compare the two alternatives in next meeting contributions</w:t>
      </w:r>
      <w:r w:rsidR="00733229">
        <w:t>.</w:t>
      </w:r>
    </w:p>
    <w:p w14:paraId="6E584FE1" w14:textId="4F1A4857" w:rsidR="00733229" w:rsidRDefault="008A6566" w:rsidP="008A6566">
      <w:pPr>
        <w:pStyle w:val="Proposal"/>
      </w:pPr>
      <w:r>
        <w:t xml:space="preserve">FFS to align </w:t>
      </w:r>
      <w:r w:rsidR="00733229" w:rsidRPr="00733229">
        <w:t xml:space="preserve">RAN2 </w:t>
      </w:r>
      <w:r>
        <w:t xml:space="preserve">specifications and </w:t>
      </w:r>
      <w:r w:rsidR="00733229" w:rsidRPr="00733229">
        <w:t>use the Ellipsoid Point with uncertainty Circle from TS 37.355 to define the circle shape of the ISA in the new SIBXX.</w:t>
      </w:r>
    </w:p>
    <w:p w14:paraId="15F03CDE" w14:textId="77777777" w:rsidR="008315A9" w:rsidRDefault="00414792">
      <w:pPr>
        <w:pStyle w:val="Heading1"/>
        <w:rPr>
          <w:lang w:eastAsia="sv-SE"/>
        </w:rPr>
      </w:pPr>
      <w:r>
        <w:rPr>
          <w:lang w:eastAsia="sv-SE"/>
        </w:rPr>
        <w:t>3</w:t>
      </w:r>
      <w:r>
        <w:rPr>
          <w:lang w:eastAsia="sv-SE"/>
        </w:rPr>
        <w:tab/>
        <w:t>Other identified open issues</w:t>
      </w:r>
    </w:p>
    <w:p w14:paraId="3C5BBEF4" w14:textId="77777777" w:rsidR="008315A9" w:rsidRDefault="00414792">
      <w:pPr>
        <w:rPr>
          <w:lang w:eastAsia="sv-SE"/>
        </w:rPr>
      </w:pPr>
      <w:r>
        <w:rPr>
          <w:lang w:eastAsia="sv-SE"/>
        </w:rPr>
        <w:t xml:space="preserve">Companies are invited to describe any other identified open issues not currently included within this document </w:t>
      </w:r>
    </w:p>
    <w:tbl>
      <w:tblPr>
        <w:tblStyle w:val="TableGrid"/>
        <w:tblW w:w="0" w:type="auto"/>
        <w:tblLook w:val="04A0" w:firstRow="1" w:lastRow="0" w:firstColumn="1" w:lastColumn="0" w:noHBand="0" w:noVBand="1"/>
      </w:tblPr>
      <w:tblGrid>
        <w:gridCol w:w="1614"/>
        <w:gridCol w:w="8011"/>
      </w:tblGrid>
      <w:tr w:rsidR="008315A9" w14:paraId="77FF723B" w14:textId="77777777">
        <w:tc>
          <w:tcPr>
            <w:tcW w:w="1614" w:type="dxa"/>
            <w:shd w:val="clear" w:color="auto" w:fill="E7E6E6" w:themeFill="background2"/>
            <w:vAlign w:val="center"/>
          </w:tcPr>
          <w:p w14:paraId="26B97A39" w14:textId="77777777" w:rsidR="008315A9" w:rsidRDefault="00414792">
            <w:pPr>
              <w:rPr>
                <w:rFonts w:eastAsia="Calibri"/>
                <w:b/>
                <w:bCs/>
                <w:lang w:eastAsia="sv-SE"/>
              </w:rPr>
            </w:pPr>
            <w:r>
              <w:rPr>
                <w:rFonts w:eastAsia="Calibri"/>
                <w:b/>
                <w:bCs/>
                <w:lang w:eastAsia="sv-SE"/>
              </w:rPr>
              <w:t>Company</w:t>
            </w:r>
          </w:p>
        </w:tc>
        <w:tc>
          <w:tcPr>
            <w:tcW w:w="8011" w:type="dxa"/>
            <w:shd w:val="clear" w:color="auto" w:fill="E7E6E6" w:themeFill="background2"/>
            <w:vAlign w:val="center"/>
          </w:tcPr>
          <w:p w14:paraId="34929F8B" w14:textId="77777777" w:rsidR="008315A9" w:rsidRDefault="00414792">
            <w:pPr>
              <w:rPr>
                <w:rFonts w:eastAsia="Calibri"/>
                <w:b/>
                <w:bCs/>
                <w:lang w:eastAsia="sv-SE"/>
              </w:rPr>
            </w:pPr>
            <w:r>
              <w:rPr>
                <w:rFonts w:eastAsia="Calibri"/>
                <w:b/>
                <w:bCs/>
                <w:lang w:eastAsia="sv-SE"/>
              </w:rPr>
              <w:t>Other identified open issues? (please describe)</w:t>
            </w:r>
          </w:p>
        </w:tc>
      </w:tr>
      <w:tr w:rsidR="008315A9" w14:paraId="55EACCE7" w14:textId="77777777">
        <w:tc>
          <w:tcPr>
            <w:tcW w:w="1614" w:type="dxa"/>
            <w:vAlign w:val="center"/>
          </w:tcPr>
          <w:p w14:paraId="1DCE405D" w14:textId="77777777" w:rsidR="008315A9" w:rsidRDefault="00414792">
            <w:pPr>
              <w:jc w:val="center"/>
              <w:rPr>
                <w:rFonts w:eastAsia="Calibri"/>
                <w:lang w:eastAsia="sv-SE"/>
              </w:rPr>
            </w:pPr>
            <w:r>
              <w:rPr>
                <w:rFonts w:eastAsia="Calibri"/>
                <w:lang w:eastAsia="sv-SE"/>
              </w:rPr>
              <w:t>Ericsson</w:t>
            </w:r>
          </w:p>
        </w:tc>
        <w:tc>
          <w:tcPr>
            <w:tcW w:w="8011" w:type="dxa"/>
            <w:vAlign w:val="center"/>
          </w:tcPr>
          <w:p w14:paraId="0C87FE3D" w14:textId="77777777" w:rsidR="008315A9" w:rsidRDefault="00414792">
            <w:pPr>
              <w:rPr>
                <w:rFonts w:eastAsia="Calibri"/>
                <w:lang w:eastAsia="sv-SE"/>
              </w:rPr>
            </w:pPr>
            <w:r>
              <w:rPr>
                <w:rFonts w:eastAsia="Calibri"/>
                <w:u w:val="single"/>
                <w:lang w:eastAsia="sv-SE"/>
              </w:rPr>
              <w:t>MBS Service continuity due to satellite movement</w:t>
            </w:r>
            <w:r>
              <w:rPr>
                <w:rFonts w:eastAsia="Calibri"/>
                <w:lang w:eastAsia="sv-SE"/>
              </w:rPr>
              <w:t>. In NTN NGSO, satellites will change often. This will trigger MCCH updates due to new neighbor cells being added. Consequently, UE will need to acquire MCCH multiple times, first when the neighbour list is updated, then, we the UE performs cell reselection.</w:t>
            </w:r>
          </w:p>
          <w:p w14:paraId="58312474" w14:textId="77777777" w:rsidR="008315A9" w:rsidRDefault="00414792">
            <w:pPr>
              <w:rPr>
                <w:rFonts w:eastAsia="Calibri"/>
                <w:lang w:eastAsia="sv-SE"/>
              </w:rPr>
            </w:pPr>
            <w:r>
              <w:rPr>
                <w:rFonts w:eastAsia="Calibri"/>
                <w:lang w:eastAsia="sv-SE"/>
              </w:rPr>
              <w:t>[Qualcomm] When satellite is changed, UE anyway would have to reacquire the SIB19 for satellite information, why it is additional burden only for MBS?</w:t>
            </w:r>
          </w:p>
          <w:p w14:paraId="59493454" w14:textId="77777777" w:rsidR="008315A9" w:rsidRDefault="00414792">
            <w:pPr>
              <w:rPr>
                <w:rFonts w:eastAsia="SimSun"/>
                <w:lang w:val="en-US" w:eastAsia="zh-CN"/>
              </w:rPr>
            </w:pPr>
            <w:r>
              <w:rPr>
                <w:rFonts w:eastAsia="SimSun" w:hint="eastAsia"/>
                <w:lang w:val="en-US" w:eastAsia="zh-CN"/>
              </w:rPr>
              <w:t>[ZTE: Agree with QC. When satellite changes UE anyway will need to perform cell reselection to find a suitable cell to camp on. Moreover, UE can use ISA to decide whether to skip acquiring MCCH</w:t>
            </w:r>
            <w:proofErr w:type="gramStart"/>
            <w:r>
              <w:rPr>
                <w:rFonts w:eastAsia="SimSun" w:hint="eastAsia"/>
                <w:lang w:val="en-US" w:eastAsia="zh-CN"/>
              </w:rPr>
              <w:t>. ]</w:t>
            </w:r>
            <w:proofErr w:type="gramEnd"/>
          </w:p>
          <w:p w14:paraId="70505C1E" w14:textId="441BAAA8" w:rsidR="00127A8A" w:rsidRDefault="00127A8A">
            <w:pPr>
              <w:rPr>
                <w:rFonts w:eastAsia="SimSun"/>
              </w:rPr>
            </w:pPr>
            <w:r>
              <w:rPr>
                <w:rFonts w:eastAsia="SimSun"/>
                <w:lang w:val="en-US" w:eastAsia="zh-CN"/>
              </w:rPr>
              <w:t xml:space="preserve">[Ericsson] </w:t>
            </w:r>
            <w:proofErr w:type="gramStart"/>
            <w:r>
              <w:rPr>
                <w:rFonts w:eastAsia="SimSun"/>
                <w:lang w:val="en-US" w:eastAsia="zh-CN"/>
              </w:rPr>
              <w:t>The</w:t>
            </w:r>
            <w:proofErr w:type="gramEnd"/>
            <w:r>
              <w:rPr>
                <w:rFonts w:eastAsia="SimSun"/>
                <w:lang w:val="en-US" w:eastAsia="zh-CN"/>
              </w:rPr>
              <w:t xml:space="preserve"> reasoning behind this enhancement is to reduce service interruption due to satellite mobility which will happen every few minutes and certainly will disrupt user experience.</w:t>
            </w:r>
          </w:p>
        </w:tc>
      </w:tr>
      <w:tr w:rsidR="008315A9" w14:paraId="58BBE164" w14:textId="77777777">
        <w:tc>
          <w:tcPr>
            <w:tcW w:w="1614" w:type="dxa"/>
            <w:vAlign w:val="center"/>
          </w:tcPr>
          <w:p w14:paraId="2BC3AA3D" w14:textId="77777777" w:rsidR="008315A9" w:rsidRDefault="00414792">
            <w:pPr>
              <w:jc w:val="center"/>
              <w:rPr>
                <w:rFonts w:eastAsia="Calibri"/>
              </w:rPr>
            </w:pPr>
            <w:r>
              <w:rPr>
                <w:rFonts w:eastAsia="Calibri"/>
              </w:rPr>
              <w:t>vivo</w:t>
            </w:r>
          </w:p>
        </w:tc>
        <w:tc>
          <w:tcPr>
            <w:tcW w:w="8011" w:type="dxa"/>
            <w:vAlign w:val="center"/>
          </w:tcPr>
          <w:p w14:paraId="0C66A45B" w14:textId="77777777" w:rsidR="008315A9" w:rsidRDefault="00414792">
            <w:pPr>
              <w:rPr>
                <w:rFonts w:eastAsia="Calibri"/>
              </w:rPr>
            </w:pPr>
            <w:r>
              <w:rPr>
                <w:rFonts w:eastAsia="Calibri"/>
              </w:rPr>
              <w:t>Whether ISA in USD is considered for MRB estalishement/release/frequency prioritization (i.e. how to use the ISA in USD from RAN2 perspective)?</w:t>
            </w:r>
          </w:p>
        </w:tc>
      </w:tr>
      <w:tr w:rsidR="008315A9" w14:paraId="09A09F8B" w14:textId="77777777">
        <w:tc>
          <w:tcPr>
            <w:tcW w:w="1614" w:type="dxa"/>
            <w:shd w:val="clear" w:color="auto" w:fill="auto"/>
            <w:vAlign w:val="center"/>
          </w:tcPr>
          <w:p w14:paraId="3AC2AB38" w14:textId="77777777" w:rsidR="008315A9" w:rsidRDefault="00414792">
            <w:pPr>
              <w:jc w:val="center"/>
              <w:rPr>
                <w:rFonts w:eastAsia="SimSun"/>
                <w:lang w:eastAsia="sv-SE"/>
              </w:rPr>
            </w:pPr>
            <w:r>
              <w:rPr>
                <w:rFonts w:eastAsia="SimSun" w:hint="eastAsia"/>
                <w:lang w:val="en-US" w:eastAsia="zh-CN"/>
              </w:rPr>
              <w:t>CMCC</w:t>
            </w:r>
          </w:p>
        </w:tc>
        <w:tc>
          <w:tcPr>
            <w:tcW w:w="8011" w:type="dxa"/>
            <w:shd w:val="clear" w:color="auto" w:fill="auto"/>
            <w:vAlign w:val="center"/>
          </w:tcPr>
          <w:p w14:paraId="592F60C7" w14:textId="77777777" w:rsidR="008315A9" w:rsidRDefault="00414792">
            <w:pPr>
              <w:jc w:val="center"/>
              <w:rPr>
                <w:rFonts w:eastAsia="SimSun"/>
                <w:lang w:eastAsia="sv-SE"/>
              </w:rPr>
            </w:pPr>
            <w:r>
              <w:rPr>
                <w:rFonts w:eastAsia="SimSun" w:hint="eastAsia"/>
                <w:lang w:val="en-US" w:eastAsia="zh-CN"/>
              </w:rPr>
              <w:t>T</w:t>
            </w:r>
            <w:r>
              <w:rPr>
                <w:rFonts w:hint="eastAsia"/>
                <w:lang w:eastAsia="sv-SE"/>
              </w:rPr>
              <w:t xml:space="preserve">erm ‘broadcast service area’ </w:t>
            </w:r>
            <w:proofErr w:type="gramStart"/>
            <w:r>
              <w:rPr>
                <w:rFonts w:hint="eastAsia"/>
                <w:lang w:eastAsia="sv-SE"/>
              </w:rPr>
              <w:t>vs. ‘intended</w:t>
            </w:r>
            <w:proofErr w:type="gramEnd"/>
            <w:r>
              <w:rPr>
                <w:rFonts w:hint="eastAsia"/>
                <w:lang w:eastAsia="sv-SE"/>
              </w:rPr>
              <w:t xml:space="preserve"> service </w:t>
            </w:r>
            <w:proofErr w:type="gramStart"/>
            <w:r>
              <w:rPr>
                <w:rFonts w:hint="eastAsia"/>
                <w:lang w:eastAsia="sv-SE"/>
              </w:rPr>
              <w:t>area’</w:t>
            </w:r>
            <w:proofErr w:type="gramEnd"/>
            <w:r>
              <w:rPr>
                <w:rFonts w:hint="eastAsia"/>
                <w:lang w:eastAsia="sv-SE"/>
              </w:rPr>
              <w:t xml:space="preserve"> </w:t>
            </w:r>
            <w:r>
              <w:rPr>
                <w:rFonts w:eastAsia="SimSun" w:hint="eastAsia"/>
                <w:lang w:val="en-US" w:eastAsia="zh-CN"/>
              </w:rPr>
              <w:t xml:space="preserve">misalignment issue, which </w:t>
            </w:r>
            <w:proofErr w:type="gramStart"/>
            <w:r>
              <w:rPr>
                <w:rFonts w:eastAsia="SimSun" w:hint="eastAsia"/>
                <w:lang w:val="en-US" w:eastAsia="zh-CN"/>
              </w:rPr>
              <w:t>is</w:t>
            </w:r>
            <w:proofErr w:type="gramEnd"/>
            <w:r>
              <w:rPr>
                <w:rFonts w:eastAsia="SimSun" w:hint="eastAsia"/>
                <w:lang w:val="en-US" w:eastAsia="zh-CN"/>
              </w:rPr>
              <w:t xml:space="preserve"> raised in last meeting and needs to </w:t>
            </w:r>
            <w:proofErr w:type="gramStart"/>
            <w:r>
              <w:rPr>
                <w:rFonts w:eastAsia="SimSun" w:hint="eastAsia"/>
                <w:lang w:val="en-US" w:eastAsia="zh-CN"/>
              </w:rPr>
              <w:t>comeback</w:t>
            </w:r>
            <w:proofErr w:type="gramEnd"/>
            <w:r>
              <w:rPr>
                <w:rFonts w:eastAsia="SimSun" w:hint="eastAsia"/>
                <w:lang w:val="en-US" w:eastAsia="zh-CN"/>
              </w:rPr>
              <w:t xml:space="preserve"> in this meeting. And this may have </w:t>
            </w:r>
            <w:proofErr w:type="gramStart"/>
            <w:r>
              <w:rPr>
                <w:rFonts w:eastAsia="SimSun" w:hint="eastAsia"/>
                <w:lang w:val="en-US" w:eastAsia="zh-CN"/>
              </w:rPr>
              <w:t>impact</w:t>
            </w:r>
            <w:proofErr w:type="gramEnd"/>
            <w:r>
              <w:rPr>
                <w:rFonts w:eastAsia="SimSun" w:hint="eastAsia"/>
                <w:lang w:val="en-US" w:eastAsia="zh-CN"/>
              </w:rPr>
              <w:t xml:space="preserve"> on the MII section description.</w:t>
            </w:r>
          </w:p>
        </w:tc>
      </w:tr>
      <w:tr w:rsidR="008315A9" w14:paraId="6205ACC7" w14:textId="77777777">
        <w:tc>
          <w:tcPr>
            <w:tcW w:w="1614" w:type="dxa"/>
            <w:vAlign w:val="center"/>
          </w:tcPr>
          <w:p w14:paraId="72154486" w14:textId="77777777" w:rsidR="008315A9" w:rsidRDefault="008315A9">
            <w:pPr>
              <w:jc w:val="center"/>
              <w:rPr>
                <w:rFonts w:eastAsia="Calibri"/>
                <w:lang w:eastAsia="sv-SE"/>
              </w:rPr>
            </w:pPr>
          </w:p>
        </w:tc>
        <w:tc>
          <w:tcPr>
            <w:tcW w:w="8011" w:type="dxa"/>
            <w:vAlign w:val="center"/>
          </w:tcPr>
          <w:p w14:paraId="34F2CF40" w14:textId="77777777" w:rsidR="008315A9" w:rsidRDefault="008315A9">
            <w:pPr>
              <w:jc w:val="center"/>
              <w:rPr>
                <w:rFonts w:eastAsia="Calibri"/>
                <w:lang w:eastAsia="sv-SE"/>
              </w:rPr>
            </w:pPr>
          </w:p>
        </w:tc>
      </w:tr>
      <w:tr w:rsidR="008315A9" w14:paraId="7A04BF91" w14:textId="77777777">
        <w:tc>
          <w:tcPr>
            <w:tcW w:w="1614" w:type="dxa"/>
            <w:vAlign w:val="center"/>
          </w:tcPr>
          <w:p w14:paraId="0EC24907" w14:textId="77777777" w:rsidR="008315A9" w:rsidRDefault="008315A9">
            <w:pPr>
              <w:jc w:val="center"/>
              <w:rPr>
                <w:rFonts w:eastAsia="Calibri"/>
                <w:lang w:eastAsia="sv-SE"/>
              </w:rPr>
            </w:pPr>
          </w:p>
        </w:tc>
        <w:tc>
          <w:tcPr>
            <w:tcW w:w="8011" w:type="dxa"/>
            <w:vAlign w:val="center"/>
          </w:tcPr>
          <w:p w14:paraId="4E785940" w14:textId="77777777" w:rsidR="008315A9" w:rsidRDefault="008315A9">
            <w:pPr>
              <w:jc w:val="center"/>
              <w:rPr>
                <w:rFonts w:eastAsia="Calibri"/>
                <w:lang w:eastAsia="sv-SE"/>
              </w:rPr>
            </w:pPr>
          </w:p>
        </w:tc>
      </w:tr>
      <w:tr w:rsidR="008315A9" w14:paraId="2D0FB048" w14:textId="77777777">
        <w:tc>
          <w:tcPr>
            <w:tcW w:w="1614" w:type="dxa"/>
            <w:vAlign w:val="center"/>
          </w:tcPr>
          <w:p w14:paraId="23361D48" w14:textId="77777777" w:rsidR="008315A9" w:rsidRDefault="008315A9">
            <w:pPr>
              <w:jc w:val="center"/>
              <w:rPr>
                <w:rFonts w:eastAsia="Calibri"/>
                <w:lang w:eastAsia="sv-SE"/>
              </w:rPr>
            </w:pPr>
          </w:p>
        </w:tc>
        <w:tc>
          <w:tcPr>
            <w:tcW w:w="8011" w:type="dxa"/>
            <w:vAlign w:val="center"/>
          </w:tcPr>
          <w:p w14:paraId="6E0E1384" w14:textId="77777777" w:rsidR="008315A9" w:rsidRDefault="008315A9">
            <w:pPr>
              <w:jc w:val="center"/>
              <w:rPr>
                <w:rFonts w:eastAsia="Calibri"/>
                <w:lang w:eastAsia="sv-SE"/>
              </w:rPr>
            </w:pPr>
          </w:p>
        </w:tc>
      </w:tr>
    </w:tbl>
    <w:p w14:paraId="4DEA816A" w14:textId="77777777" w:rsidR="008315A9" w:rsidRDefault="008315A9">
      <w:pPr>
        <w:rPr>
          <w:lang w:eastAsia="sv-SE"/>
        </w:rPr>
      </w:pPr>
    </w:p>
    <w:p w14:paraId="38738F62" w14:textId="77777777" w:rsidR="008315A9" w:rsidRDefault="00414792">
      <w:pPr>
        <w:pStyle w:val="Heading1"/>
      </w:pPr>
      <w:r>
        <w:t>4</w:t>
      </w:r>
      <w:r>
        <w:tab/>
        <w:t>Conclusions</w:t>
      </w:r>
    </w:p>
    <w:p w14:paraId="44506E34" w14:textId="77777777" w:rsidR="008315A9" w:rsidRDefault="00414792">
      <w:pPr>
        <w:rPr>
          <w:lang w:eastAsia="sv-SE"/>
        </w:rPr>
      </w:pPr>
      <w:r>
        <w:rPr>
          <w:lang w:eastAsia="sv-SE"/>
        </w:rPr>
        <w:t>The following proposals have been provided based on feedback to the above document:</w:t>
      </w:r>
    </w:p>
    <w:p w14:paraId="5CA0A54B" w14:textId="77777777" w:rsidR="008315A9" w:rsidRDefault="00414792">
      <w:pPr>
        <w:rPr>
          <w:lang w:eastAsia="sv-SE"/>
        </w:rPr>
      </w:pPr>
      <w:r>
        <w:rPr>
          <w:lang w:eastAsia="sv-SE"/>
        </w:rPr>
        <w:t>[</w:t>
      </w:r>
      <w:r>
        <w:rPr>
          <w:highlight w:val="green"/>
          <w:lang w:eastAsia="sv-SE"/>
        </w:rPr>
        <w:t>Proposals for easy agreement</w:t>
      </w:r>
      <w:r>
        <w:rPr>
          <w:lang w:eastAsia="sv-SE"/>
        </w:rPr>
        <w:t>]</w:t>
      </w:r>
    </w:p>
    <w:p w14:paraId="19F21760" w14:textId="6E3B9BAE" w:rsidR="008315A9" w:rsidRDefault="00E006B9">
      <w:pPr>
        <w:rPr>
          <w:lang w:eastAsia="sv-SE"/>
        </w:rPr>
      </w:pPr>
      <w:r w:rsidRPr="00E006B9">
        <w:rPr>
          <w:lang w:eastAsia="sv-SE"/>
        </w:rPr>
        <w:t>SMTC5 list can be configured independently. Delta signalling with SMTC4 list can be supported to avoid unnecessary overhead (5/5)</w:t>
      </w:r>
    </w:p>
    <w:p w14:paraId="2C3CFB1C" w14:textId="2ED9A27F" w:rsidR="00733229" w:rsidRDefault="00733229">
      <w:pPr>
        <w:rPr>
          <w:lang w:eastAsia="sv-SE"/>
        </w:rPr>
      </w:pPr>
      <w:r w:rsidRPr="00733229">
        <w:rPr>
          <w:lang w:eastAsia="sv-SE"/>
        </w:rPr>
        <w:t>The maximum number of 6 configured SMTCs include the SMTC of the serving cell (5/5)</w:t>
      </w:r>
    </w:p>
    <w:p w14:paraId="5F2C163B" w14:textId="7FA7D6A4" w:rsidR="00E006B9" w:rsidRDefault="00127A8A">
      <w:pPr>
        <w:rPr>
          <w:lang w:eastAsia="sv-SE"/>
        </w:rPr>
      </w:pPr>
      <w:r w:rsidRPr="00127A8A">
        <w:rPr>
          <w:lang w:eastAsia="sv-SE"/>
        </w:rPr>
        <w:t xml:space="preserve">Existing mechanisms are sufficient to </w:t>
      </w:r>
      <w:proofErr w:type="gramStart"/>
      <w:r w:rsidRPr="00127A8A">
        <w:rPr>
          <w:lang w:eastAsia="sv-SE"/>
        </w:rPr>
        <w:t>associated</w:t>
      </w:r>
      <w:proofErr w:type="gramEnd"/>
      <w:r w:rsidRPr="00127A8A">
        <w:rPr>
          <w:lang w:eastAsia="sv-SE"/>
        </w:rPr>
        <w:t xml:space="preserve"> the ISA with relevant neighbour frequencies to perform MBS frequency prioritization (3/4).</w:t>
      </w:r>
    </w:p>
    <w:p w14:paraId="77776B47" w14:textId="318DF785" w:rsidR="008315A9" w:rsidRDefault="00414792">
      <w:pPr>
        <w:rPr>
          <w:lang w:eastAsia="sv-SE"/>
        </w:rPr>
      </w:pPr>
      <w:r>
        <w:rPr>
          <w:lang w:eastAsia="sv-SE"/>
        </w:rPr>
        <w:t>[</w:t>
      </w:r>
      <w:r>
        <w:rPr>
          <w:highlight w:val="yellow"/>
          <w:lang w:eastAsia="sv-SE"/>
        </w:rPr>
        <w:t xml:space="preserve">Proposals for </w:t>
      </w:r>
      <w:r w:rsidR="00E006B9">
        <w:rPr>
          <w:highlight w:val="yellow"/>
          <w:lang w:eastAsia="sv-SE"/>
        </w:rPr>
        <w:t xml:space="preserve">further </w:t>
      </w:r>
      <w:r>
        <w:rPr>
          <w:highlight w:val="yellow"/>
          <w:lang w:eastAsia="sv-SE"/>
        </w:rPr>
        <w:t>discussion</w:t>
      </w:r>
      <w:r>
        <w:rPr>
          <w:lang w:eastAsia="sv-SE"/>
        </w:rPr>
        <w:t>]</w:t>
      </w:r>
    </w:p>
    <w:p w14:paraId="0B795770" w14:textId="388B8630" w:rsidR="00E006B9" w:rsidRDefault="00E006B9">
      <w:pPr>
        <w:rPr>
          <w:lang w:eastAsia="sv-SE"/>
        </w:rPr>
      </w:pPr>
      <w:r w:rsidRPr="00E006B9">
        <w:rPr>
          <w:lang w:eastAsia="sv-SE"/>
        </w:rPr>
        <w:t>FFS Stage 3 impact of the limit of maximum 2 SMTC periodicities per frequency layer and the configuration of 6 SMTC offsets per frequency. Companies are invited to bring concrete text proposals.</w:t>
      </w:r>
    </w:p>
    <w:p w14:paraId="140B88BE" w14:textId="7E4889FF" w:rsidR="00733229" w:rsidRDefault="00733229">
      <w:pPr>
        <w:rPr>
          <w:lang w:eastAsia="sv-SE"/>
        </w:rPr>
      </w:pPr>
      <w:r w:rsidRPr="00733229">
        <w:rPr>
          <w:lang w:eastAsia="sv-SE"/>
        </w:rPr>
        <w:t>FFS whether multiple SMTC periodicities are needed in frequency layers different from the serving cell frequency (e.g., inter-frequency neighbours) and clarify in which inter-frequency scenario(s) this enhancement is beneficial.</w:t>
      </w:r>
    </w:p>
    <w:p w14:paraId="6A727185" w14:textId="7C13D228" w:rsidR="00733229" w:rsidRDefault="00651432">
      <w:pPr>
        <w:rPr>
          <w:lang w:eastAsia="sv-SE"/>
        </w:rPr>
      </w:pPr>
      <w:r w:rsidRPr="00651432">
        <w:rPr>
          <w:lang w:eastAsia="sv-SE"/>
        </w:rPr>
        <w:t>SMTC enhancements in connected mode for NTN DL coverage enhancements are pending RAN2 confirmation of the working assumption: “We introduce a mechanism to assist the NW to configure the SMTCs in connected mode”.</w:t>
      </w:r>
      <w:r>
        <w:rPr>
          <w:lang w:eastAsia="sv-SE"/>
        </w:rPr>
        <w:t xml:space="preserve"> It is FFS </w:t>
      </w:r>
      <w:r w:rsidR="00733229" w:rsidRPr="00733229">
        <w:rPr>
          <w:lang w:eastAsia="sv-SE"/>
        </w:rPr>
        <w:t>the choice between Alt 1 or Alt2.</w:t>
      </w:r>
    </w:p>
    <w:p w14:paraId="6AD73CE6" w14:textId="77777777" w:rsidR="00127A8A" w:rsidRDefault="00127A8A" w:rsidP="00E006B9">
      <w:pPr>
        <w:rPr>
          <w:lang w:eastAsia="sv-SE"/>
        </w:rPr>
      </w:pPr>
      <w:r w:rsidRPr="00127A8A">
        <w:rPr>
          <w:lang w:eastAsia="sv-SE"/>
        </w:rPr>
        <w:t>FFS to align RAN2 specifications and use the Ellipsoid Point with uncertainty Circle from TS 37.355 to define the circle shape of the ISA in the new SIBXX.</w:t>
      </w:r>
    </w:p>
    <w:p w14:paraId="7CBDFD70" w14:textId="4AC90AF1" w:rsidR="00E006B9" w:rsidRDefault="00127A8A" w:rsidP="00127A8A">
      <w:r>
        <w:t>FFS on the terminology misalignment between</w:t>
      </w:r>
      <w:r w:rsidR="00E006B9" w:rsidRPr="00E006B9">
        <w:t xml:space="preserve"> ‘broadcast service area’ vs. ‘intended service area’ </w:t>
      </w:r>
      <w:r>
        <w:t>a</w:t>
      </w:r>
      <w:r w:rsidR="00E006B9" w:rsidRPr="00E006B9">
        <w:t>nd th</w:t>
      </w:r>
      <w:r>
        <w:t>e potential impact o</w:t>
      </w:r>
      <w:r w:rsidR="00E006B9" w:rsidRPr="00E006B9">
        <w:t>n the MII</w:t>
      </w:r>
      <w:r>
        <w:t xml:space="preserve"> procedure</w:t>
      </w:r>
      <w:r w:rsidR="00E006B9" w:rsidRPr="00E006B9">
        <w:t>.</w:t>
      </w:r>
    </w:p>
    <w:sectPr w:rsidR="00E006B9">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A06B5" w14:textId="77777777" w:rsidR="00F54A2A" w:rsidRDefault="00F54A2A">
      <w:pPr>
        <w:spacing w:after="0" w:line="240" w:lineRule="auto"/>
      </w:pPr>
      <w:r>
        <w:separator/>
      </w:r>
    </w:p>
  </w:endnote>
  <w:endnote w:type="continuationSeparator" w:id="0">
    <w:p w14:paraId="587F36D8" w14:textId="77777777" w:rsidR="00F54A2A" w:rsidRDefault="00F54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D606A" w14:textId="77777777" w:rsidR="008315A9" w:rsidRDefault="0041479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97247" w14:textId="77777777" w:rsidR="00F54A2A" w:rsidRDefault="00F54A2A">
      <w:pPr>
        <w:spacing w:after="0"/>
      </w:pPr>
      <w:r>
        <w:separator/>
      </w:r>
    </w:p>
  </w:footnote>
  <w:footnote w:type="continuationSeparator" w:id="0">
    <w:p w14:paraId="6A47E04A" w14:textId="77777777" w:rsidR="00F54A2A" w:rsidRDefault="00F54A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F7E0D" w14:textId="77777777" w:rsidR="008315A9" w:rsidRDefault="004147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2" w15:restartNumberingAfterBreak="0">
    <w:nsid w:val="275237A4"/>
    <w:multiLevelType w:val="multilevel"/>
    <w:tmpl w:val="27523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A403371"/>
    <w:multiLevelType w:val="multilevel"/>
    <w:tmpl w:val="7A403371"/>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Calibri" w:eastAsiaTheme="minorHAnsi"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2366291">
    <w:abstractNumId w:val="0"/>
  </w:num>
  <w:num w:numId="2" w16cid:durableId="1315911091">
    <w:abstractNumId w:val="3"/>
  </w:num>
  <w:num w:numId="3" w16cid:durableId="1806309653">
    <w:abstractNumId w:val="1"/>
  </w:num>
  <w:num w:numId="4" w16cid:durableId="1128426128">
    <w:abstractNumId w:val="4"/>
  </w:num>
  <w:num w:numId="5" w16cid:durableId="1926722816">
    <w:abstractNumId w:val="5"/>
  </w:num>
  <w:num w:numId="6" w16cid:durableId="1120369957">
    <w:abstractNumId w:val="6"/>
  </w:num>
  <w:num w:numId="7" w16cid:durableId="17228265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srS0MDI1NTOzNDdT0lEKTi0uzszPAykwrAUAph7JNCwAAAA="/>
  </w:docVars>
  <w:rsids>
    <w:rsidRoot w:val="002A2A3F"/>
    <w:rsid w:val="000006E1"/>
    <w:rsid w:val="00002872"/>
    <w:rsid w:val="00002A37"/>
    <w:rsid w:val="00003042"/>
    <w:rsid w:val="00004997"/>
    <w:rsid w:val="0000564C"/>
    <w:rsid w:val="000062F7"/>
    <w:rsid w:val="00006444"/>
    <w:rsid w:val="00006446"/>
    <w:rsid w:val="00006896"/>
    <w:rsid w:val="00006CAC"/>
    <w:rsid w:val="0000725F"/>
    <w:rsid w:val="00007CDC"/>
    <w:rsid w:val="000103AE"/>
    <w:rsid w:val="00010706"/>
    <w:rsid w:val="00011B28"/>
    <w:rsid w:val="000143C1"/>
    <w:rsid w:val="00015D15"/>
    <w:rsid w:val="0001652A"/>
    <w:rsid w:val="00017EA6"/>
    <w:rsid w:val="0002000D"/>
    <w:rsid w:val="00020B8F"/>
    <w:rsid w:val="0002194A"/>
    <w:rsid w:val="00021CC0"/>
    <w:rsid w:val="00022B08"/>
    <w:rsid w:val="0002430F"/>
    <w:rsid w:val="00024747"/>
    <w:rsid w:val="0002564D"/>
    <w:rsid w:val="00025ECA"/>
    <w:rsid w:val="00026A6C"/>
    <w:rsid w:val="00027E5F"/>
    <w:rsid w:val="00030AAF"/>
    <w:rsid w:val="0003125E"/>
    <w:rsid w:val="000325B8"/>
    <w:rsid w:val="00034C15"/>
    <w:rsid w:val="000362C1"/>
    <w:rsid w:val="00036BA1"/>
    <w:rsid w:val="00037741"/>
    <w:rsid w:val="00037FC4"/>
    <w:rsid w:val="00040BB2"/>
    <w:rsid w:val="00040CB3"/>
    <w:rsid w:val="000422E2"/>
    <w:rsid w:val="00042F22"/>
    <w:rsid w:val="000444EF"/>
    <w:rsid w:val="00047284"/>
    <w:rsid w:val="000516BB"/>
    <w:rsid w:val="00052A07"/>
    <w:rsid w:val="00052C67"/>
    <w:rsid w:val="000534E3"/>
    <w:rsid w:val="0005606A"/>
    <w:rsid w:val="0005696C"/>
    <w:rsid w:val="000569CD"/>
    <w:rsid w:val="00057117"/>
    <w:rsid w:val="00060E50"/>
    <w:rsid w:val="00060FDC"/>
    <w:rsid w:val="0006154B"/>
    <w:rsid w:val="000616E7"/>
    <w:rsid w:val="00061EF7"/>
    <w:rsid w:val="000629AE"/>
    <w:rsid w:val="00064736"/>
    <w:rsid w:val="0006487E"/>
    <w:rsid w:val="000656AB"/>
    <w:rsid w:val="00065868"/>
    <w:rsid w:val="00065A4D"/>
    <w:rsid w:val="00065E1A"/>
    <w:rsid w:val="00066D23"/>
    <w:rsid w:val="00071C9D"/>
    <w:rsid w:val="00073C1C"/>
    <w:rsid w:val="00073FDD"/>
    <w:rsid w:val="000753E8"/>
    <w:rsid w:val="000764F9"/>
    <w:rsid w:val="00076730"/>
    <w:rsid w:val="00077E5F"/>
    <w:rsid w:val="0008036A"/>
    <w:rsid w:val="00081AE6"/>
    <w:rsid w:val="000855EB"/>
    <w:rsid w:val="000857F1"/>
    <w:rsid w:val="00085B52"/>
    <w:rsid w:val="00085C2B"/>
    <w:rsid w:val="000866F2"/>
    <w:rsid w:val="0009009F"/>
    <w:rsid w:val="00090DD3"/>
    <w:rsid w:val="00091557"/>
    <w:rsid w:val="00091ADF"/>
    <w:rsid w:val="000924C1"/>
    <w:rsid w:val="000924F0"/>
    <w:rsid w:val="0009314D"/>
    <w:rsid w:val="00093474"/>
    <w:rsid w:val="0009510F"/>
    <w:rsid w:val="00095CF6"/>
    <w:rsid w:val="000963FB"/>
    <w:rsid w:val="000A0885"/>
    <w:rsid w:val="000A1B7B"/>
    <w:rsid w:val="000A200F"/>
    <w:rsid w:val="000A2579"/>
    <w:rsid w:val="000A5661"/>
    <w:rsid w:val="000A56F2"/>
    <w:rsid w:val="000A63E1"/>
    <w:rsid w:val="000B2719"/>
    <w:rsid w:val="000B3A8F"/>
    <w:rsid w:val="000B3EA7"/>
    <w:rsid w:val="000B4AB9"/>
    <w:rsid w:val="000B58C3"/>
    <w:rsid w:val="000B61E9"/>
    <w:rsid w:val="000B7065"/>
    <w:rsid w:val="000C165A"/>
    <w:rsid w:val="000C2E19"/>
    <w:rsid w:val="000C395B"/>
    <w:rsid w:val="000C6B47"/>
    <w:rsid w:val="000C6DC7"/>
    <w:rsid w:val="000D0D07"/>
    <w:rsid w:val="000D37EC"/>
    <w:rsid w:val="000D3C71"/>
    <w:rsid w:val="000D4797"/>
    <w:rsid w:val="000E00C0"/>
    <w:rsid w:val="000E0527"/>
    <w:rsid w:val="000E16C6"/>
    <w:rsid w:val="000E1BA7"/>
    <w:rsid w:val="000E1E92"/>
    <w:rsid w:val="000E2F75"/>
    <w:rsid w:val="000E48DA"/>
    <w:rsid w:val="000E4A92"/>
    <w:rsid w:val="000E5130"/>
    <w:rsid w:val="000E5C9F"/>
    <w:rsid w:val="000E6112"/>
    <w:rsid w:val="000F06D6"/>
    <w:rsid w:val="000F0B66"/>
    <w:rsid w:val="000F0EB1"/>
    <w:rsid w:val="000F1106"/>
    <w:rsid w:val="000F3BE9"/>
    <w:rsid w:val="000F3F08"/>
    <w:rsid w:val="000F3F6C"/>
    <w:rsid w:val="000F4486"/>
    <w:rsid w:val="000F4C80"/>
    <w:rsid w:val="000F4D36"/>
    <w:rsid w:val="000F5444"/>
    <w:rsid w:val="000F6960"/>
    <w:rsid w:val="000F6DF3"/>
    <w:rsid w:val="000F718E"/>
    <w:rsid w:val="000F7514"/>
    <w:rsid w:val="000F79F0"/>
    <w:rsid w:val="0010027D"/>
    <w:rsid w:val="001005FF"/>
    <w:rsid w:val="00102549"/>
    <w:rsid w:val="001037E0"/>
    <w:rsid w:val="00103F6A"/>
    <w:rsid w:val="00104A78"/>
    <w:rsid w:val="001062FB"/>
    <w:rsid w:val="001063E6"/>
    <w:rsid w:val="00106D0A"/>
    <w:rsid w:val="0010725E"/>
    <w:rsid w:val="001078A7"/>
    <w:rsid w:val="00113CF4"/>
    <w:rsid w:val="00114A16"/>
    <w:rsid w:val="001153EA"/>
    <w:rsid w:val="0011550B"/>
    <w:rsid w:val="00115643"/>
    <w:rsid w:val="0011664C"/>
    <w:rsid w:val="00116765"/>
    <w:rsid w:val="001178B1"/>
    <w:rsid w:val="00117DFD"/>
    <w:rsid w:val="0012081F"/>
    <w:rsid w:val="001219F5"/>
    <w:rsid w:val="00121A20"/>
    <w:rsid w:val="0012377F"/>
    <w:rsid w:val="00124314"/>
    <w:rsid w:val="00126B4A"/>
    <w:rsid w:val="00127A8A"/>
    <w:rsid w:val="00132FD0"/>
    <w:rsid w:val="001344C0"/>
    <w:rsid w:val="001346FA"/>
    <w:rsid w:val="00135252"/>
    <w:rsid w:val="001352F1"/>
    <w:rsid w:val="0013564C"/>
    <w:rsid w:val="001369DC"/>
    <w:rsid w:val="00137AB5"/>
    <w:rsid w:val="00137F0B"/>
    <w:rsid w:val="001429C0"/>
    <w:rsid w:val="00143B0E"/>
    <w:rsid w:val="00145016"/>
    <w:rsid w:val="00146FF2"/>
    <w:rsid w:val="00147329"/>
    <w:rsid w:val="0014763D"/>
    <w:rsid w:val="00150DBE"/>
    <w:rsid w:val="00151C2B"/>
    <w:rsid w:val="00151D4F"/>
    <w:rsid w:val="00151E23"/>
    <w:rsid w:val="001526E0"/>
    <w:rsid w:val="0015455E"/>
    <w:rsid w:val="001551B5"/>
    <w:rsid w:val="00156282"/>
    <w:rsid w:val="00160C21"/>
    <w:rsid w:val="00161967"/>
    <w:rsid w:val="00161B59"/>
    <w:rsid w:val="00163913"/>
    <w:rsid w:val="00164CC4"/>
    <w:rsid w:val="00164F4D"/>
    <w:rsid w:val="00165982"/>
    <w:rsid w:val="001659B6"/>
    <w:rsid w:val="001659C1"/>
    <w:rsid w:val="00165A99"/>
    <w:rsid w:val="00167D54"/>
    <w:rsid w:val="00172AC4"/>
    <w:rsid w:val="00173A8E"/>
    <w:rsid w:val="00173D4C"/>
    <w:rsid w:val="0017502C"/>
    <w:rsid w:val="00177C20"/>
    <w:rsid w:val="001807EB"/>
    <w:rsid w:val="0018143F"/>
    <w:rsid w:val="00181943"/>
    <w:rsid w:val="00181FF8"/>
    <w:rsid w:val="00190AC1"/>
    <w:rsid w:val="00191CB5"/>
    <w:rsid w:val="0019341A"/>
    <w:rsid w:val="00195B19"/>
    <w:rsid w:val="001966CC"/>
    <w:rsid w:val="0019727F"/>
    <w:rsid w:val="00197DF9"/>
    <w:rsid w:val="001A1987"/>
    <w:rsid w:val="001A2564"/>
    <w:rsid w:val="001A37E9"/>
    <w:rsid w:val="001A3D71"/>
    <w:rsid w:val="001A6173"/>
    <w:rsid w:val="001A64FE"/>
    <w:rsid w:val="001A6CBA"/>
    <w:rsid w:val="001A7B3E"/>
    <w:rsid w:val="001A7EF8"/>
    <w:rsid w:val="001B0204"/>
    <w:rsid w:val="001B0866"/>
    <w:rsid w:val="001B0D97"/>
    <w:rsid w:val="001B0DE5"/>
    <w:rsid w:val="001B1F11"/>
    <w:rsid w:val="001B2EE6"/>
    <w:rsid w:val="001B3911"/>
    <w:rsid w:val="001B3B39"/>
    <w:rsid w:val="001B4ED0"/>
    <w:rsid w:val="001B5A5D"/>
    <w:rsid w:val="001B5B3E"/>
    <w:rsid w:val="001B7700"/>
    <w:rsid w:val="001C1504"/>
    <w:rsid w:val="001C1A25"/>
    <w:rsid w:val="001C1CE5"/>
    <w:rsid w:val="001C3D2A"/>
    <w:rsid w:val="001C404E"/>
    <w:rsid w:val="001C4ADA"/>
    <w:rsid w:val="001C65F0"/>
    <w:rsid w:val="001D07FB"/>
    <w:rsid w:val="001D16A5"/>
    <w:rsid w:val="001D28C5"/>
    <w:rsid w:val="001D32F8"/>
    <w:rsid w:val="001D388B"/>
    <w:rsid w:val="001D417E"/>
    <w:rsid w:val="001D51BA"/>
    <w:rsid w:val="001D53E7"/>
    <w:rsid w:val="001D6342"/>
    <w:rsid w:val="001D6D53"/>
    <w:rsid w:val="001E16B7"/>
    <w:rsid w:val="001E58E2"/>
    <w:rsid w:val="001E7AED"/>
    <w:rsid w:val="001F3916"/>
    <w:rsid w:val="001F4A83"/>
    <w:rsid w:val="001F54C5"/>
    <w:rsid w:val="001F662C"/>
    <w:rsid w:val="001F7074"/>
    <w:rsid w:val="001F7B16"/>
    <w:rsid w:val="002003CF"/>
    <w:rsid w:val="00200490"/>
    <w:rsid w:val="00201F3A"/>
    <w:rsid w:val="00203F96"/>
    <w:rsid w:val="002069B2"/>
    <w:rsid w:val="00206B2A"/>
    <w:rsid w:val="00207250"/>
    <w:rsid w:val="00207FA3"/>
    <w:rsid w:val="002127A1"/>
    <w:rsid w:val="00212FAA"/>
    <w:rsid w:val="00213980"/>
    <w:rsid w:val="00214DA8"/>
    <w:rsid w:val="00215423"/>
    <w:rsid w:val="0021567B"/>
    <w:rsid w:val="002158FA"/>
    <w:rsid w:val="0021790F"/>
    <w:rsid w:val="00217E6F"/>
    <w:rsid w:val="00220600"/>
    <w:rsid w:val="0022085E"/>
    <w:rsid w:val="002224DB"/>
    <w:rsid w:val="00223FCB"/>
    <w:rsid w:val="002244FB"/>
    <w:rsid w:val="00224C5C"/>
    <w:rsid w:val="002252C3"/>
    <w:rsid w:val="00225C54"/>
    <w:rsid w:val="00227240"/>
    <w:rsid w:val="00230765"/>
    <w:rsid w:val="00230D18"/>
    <w:rsid w:val="00230E94"/>
    <w:rsid w:val="002319E4"/>
    <w:rsid w:val="00232127"/>
    <w:rsid w:val="00232AD4"/>
    <w:rsid w:val="00232D35"/>
    <w:rsid w:val="002334BA"/>
    <w:rsid w:val="00234307"/>
    <w:rsid w:val="002352CD"/>
    <w:rsid w:val="00235632"/>
    <w:rsid w:val="00235872"/>
    <w:rsid w:val="00237B86"/>
    <w:rsid w:val="002400E9"/>
    <w:rsid w:val="00241559"/>
    <w:rsid w:val="002435B3"/>
    <w:rsid w:val="00244784"/>
    <w:rsid w:val="002458EB"/>
    <w:rsid w:val="0024661F"/>
    <w:rsid w:val="00246991"/>
    <w:rsid w:val="002500C8"/>
    <w:rsid w:val="0025015B"/>
    <w:rsid w:val="00252046"/>
    <w:rsid w:val="00252A02"/>
    <w:rsid w:val="00253040"/>
    <w:rsid w:val="002537CA"/>
    <w:rsid w:val="002538FB"/>
    <w:rsid w:val="00257543"/>
    <w:rsid w:val="002617E7"/>
    <w:rsid w:val="00262E78"/>
    <w:rsid w:val="00264228"/>
    <w:rsid w:val="00264334"/>
    <w:rsid w:val="0026473E"/>
    <w:rsid w:val="0026493A"/>
    <w:rsid w:val="00266214"/>
    <w:rsid w:val="00267852"/>
    <w:rsid w:val="00267C83"/>
    <w:rsid w:val="0027144F"/>
    <w:rsid w:val="00271813"/>
    <w:rsid w:val="00271F3A"/>
    <w:rsid w:val="00273278"/>
    <w:rsid w:val="002737F4"/>
    <w:rsid w:val="00280149"/>
    <w:rsid w:val="002805F5"/>
    <w:rsid w:val="00280751"/>
    <w:rsid w:val="002827FD"/>
    <w:rsid w:val="0028280A"/>
    <w:rsid w:val="00282FC1"/>
    <w:rsid w:val="0028634A"/>
    <w:rsid w:val="00286ACD"/>
    <w:rsid w:val="00287838"/>
    <w:rsid w:val="002907B5"/>
    <w:rsid w:val="00290B54"/>
    <w:rsid w:val="002916F1"/>
    <w:rsid w:val="00292EB7"/>
    <w:rsid w:val="00296227"/>
    <w:rsid w:val="00296F44"/>
    <w:rsid w:val="00297697"/>
    <w:rsid w:val="0029777D"/>
    <w:rsid w:val="002A055E"/>
    <w:rsid w:val="002A0AB2"/>
    <w:rsid w:val="002A1D4E"/>
    <w:rsid w:val="002A2869"/>
    <w:rsid w:val="002A2A3F"/>
    <w:rsid w:val="002A2AFD"/>
    <w:rsid w:val="002B22D7"/>
    <w:rsid w:val="002B24D6"/>
    <w:rsid w:val="002B28D6"/>
    <w:rsid w:val="002B3793"/>
    <w:rsid w:val="002B493D"/>
    <w:rsid w:val="002B4DEB"/>
    <w:rsid w:val="002C0920"/>
    <w:rsid w:val="002C1B3B"/>
    <w:rsid w:val="002C2C5D"/>
    <w:rsid w:val="002C415B"/>
    <w:rsid w:val="002C41E6"/>
    <w:rsid w:val="002C4E09"/>
    <w:rsid w:val="002C5BB7"/>
    <w:rsid w:val="002C674B"/>
    <w:rsid w:val="002D071A"/>
    <w:rsid w:val="002D14E0"/>
    <w:rsid w:val="002D3325"/>
    <w:rsid w:val="002D34B0"/>
    <w:rsid w:val="002D34B2"/>
    <w:rsid w:val="002D48B0"/>
    <w:rsid w:val="002D5B37"/>
    <w:rsid w:val="002D7637"/>
    <w:rsid w:val="002E17F2"/>
    <w:rsid w:val="002E77B5"/>
    <w:rsid w:val="002E77E6"/>
    <w:rsid w:val="002E7CAE"/>
    <w:rsid w:val="002F0541"/>
    <w:rsid w:val="002F13E4"/>
    <w:rsid w:val="002F2753"/>
    <w:rsid w:val="002F2771"/>
    <w:rsid w:val="002F37A9"/>
    <w:rsid w:val="002F3951"/>
    <w:rsid w:val="002F4BA0"/>
    <w:rsid w:val="002F70BE"/>
    <w:rsid w:val="002F7355"/>
    <w:rsid w:val="002F7E03"/>
    <w:rsid w:val="00300FD9"/>
    <w:rsid w:val="00301CE6"/>
    <w:rsid w:val="0030256B"/>
    <w:rsid w:val="00302F75"/>
    <w:rsid w:val="0030501F"/>
    <w:rsid w:val="00306360"/>
    <w:rsid w:val="00307BA1"/>
    <w:rsid w:val="0031057B"/>
    <w:rsid w:val="00311702"/>
    <w:rsid w:val="00311E82"/>
    <w:rsid w:val="00313FD6"/>
    <w:rsid w:val="003143BD"/>
    <w:rsid w:val="00314A89"/>
    <w:rsid w:val="00314F12"/>
    <w:rsid w:val="00315363"/>
    <w:rsid w:val="003169D5"/>
    <w:rsid w:val="00317A66"/>
    <w:rsid w:val="003203ED"/>
    <w:rsid w:val="003208AE"/>
    <w:rsid w:val="003208B1"/>
    <w:rsid w:val="00322A1B"/>
    <w:rsid w:val="00322A2A"/>
    <w:rsid w:val="00322C9F"/>
    <w:rsid w:val="00322E08"/>
    <w:rsid w:val="00324D23"/>
    <w:rsid w:val="00325161"/>
    <w:rsid w:val="00326762"/>
    <w:rsid w:val="00326EBF"/>
    <w:rsid w:val="00330204"/>
    <w:rsid w:val="0033111F"/>
    <w:rsid w:val="00331258"/>
    <w:rsid w:val="00331751"/>
    <w:rsid w:val="00331B71"/>
    <w:rsid w:val="00334579"/>
    <w:rsid w:val="00335858"/>
    <w:rsid w:val="003364E0"/>
    <w:rsid w:val="00336BDA"/>
    <w:rsid w:val="00337376"/>
    <w:rsid w:val="0034117E"/>
    <w:rsid w:val="00342BD7"/>
    <w:rsid w:val="0034367C"/>
    <w:rsid w:val="00343838"/>
    <w:rsid w:val="00345644"/>
    <w:rsid w:val="00346DB5"/>
    <w:rsid w:val="003477B1"/>
    <w:rsid w:val="00351F7F"/>
    <w:rsid w:val="003532C9"/>
    <w:rsid w:val="0035558E"/>
    <w:rsid w:val="00355701"/>
    <w:rsid w:val="00357145"/>
    <w:rsid w:val="00357380"/>
    <w:rsid w:val="0035774C"/>
    <w:rsid w:val="00357E6B"/>
    <w:rsid w:val="003602D9"/>
    <w:rsid w:val="003604CE"/>
    <w:rsid w:val="00363822"/>
    <w:rsid w:val="00363DA4"/>
    <w:rsid w:val="0036688F"/>
    <w:rsid w:val="00367229"/>
    <w:rsid w:val="00367993"/>
    <w:rsid w:val="00367B8C"/>
    <w:rsid w:val="00370E47"/>
    <w:rsid w:val="00371022"/>
    <w:rsid w:val="00371F86"/>
    <w:rsid w:val="003742AC"/>
    <w:rsid w:val="00375320"/>
    <w:rsid w:val="00375AF1"/>
    <w:rsid w:val="00376C75"/>
    <w:rsid w:val="00376F16"/>
    <w:rsid w:val="00377CE1"/>
    <w:rsid w:val="00381A27"/>
    <w:rsid w:val="00385BF0"/>
    <w:rsid w:val="00386118"/>
    <w:rsid w:val="003905B0"/>
    <w:rsid w:val="00393539"/>
    <w:rsid w:val="003939FF"/>
    <w:rsid w:val="0039412D"/>
    <w:rsid w:val="00395A90"/>
    <w:rsid w:val="0039617D"/>
    <w:rsid w:val="00397195"/>
    <w:rsid w:val="003A1D8C"/>
    <w:rsid w:val="003A2223"/>
    <w:rsid w:val="003A2A0F"/>
    <w:rsid w:val="003A44CB"/>
    <w:rsid w:val="003A45A1"/>
    <w:rsid w:val="003A5B0A"/>
    <w:rsid w:val="003A6BAC"/>
    <w:rsid w:val="003A6C26"/>
    <w:rsid w:val="003A70A4"/>
    <w:rsid w:val="003A716B"/>
    <w:rsid w:val="003A73D8"/>
    <w:rsid w:val="003A7EF3"/>
    <w:rsid w:val="003B159C"/>
    <w:rsid w:val="003B369F"/>
    <w:rsid w:val="003B36A3"/>
    <w:rsid w:val="003B62F7"/>
    <w:rsid w:val="003B64BB"/>
    <w:rsid w:val="003B6FF8"/>
    <w:rsid w:val="003B7FE5"/>
    <w:rsid w:val="003C11C8"/>
    <w:rsid w:val="003C1376"/>
    <w:rsid w:val="003C2702"/>
    <w:rsid w:val="003C7806"/>
    <w:rsid w:val="003D08E8"/>
    <w:rsid w:val="003D109F"/>
    <w:rsid w:val="003D1FF8"/>
    <w:rsid w:val="003D2478"/>
    <w:rsid w:val="003D3C45"/>
    <w:rsid w:val="003D5B1F"/>
    <w:rsid w:val="003D660D"/>
    <w:rsid w:val="003D671F"/>
    <w:rsid w:val="003E00BF"/>
    <w:rsid w:val="003E15FA"/>
    <w:rsid w:val="003E1643"/>
    <w:rsid w:val="003E1DB5"/>
    <w:rsid w:val="003E23BA"/>
    <w:rsid w:val="003E3411"/>
    <w:rsid w:val="003E3795"/>
    <w:rsid w:val="003E3947"/>
    <w:rsid w:val="003E55E4"/>
    <w:rsid w:val="003E5678"/>
    <w:rsid w:val="003E74E3"/>
    <w:rsid w:val="003E7A6F"/>
    <w:rsid w:val="003F05C7"/>
    <w:rsid w:val="003F10F3"/>
    <w:rsid w:val="003F2CD4"/>
    <w:rsid w:val="003F320A"/>
    <w:rsid w:val="003F558D"/>
    <w:rsid w:val="003F68E0"/>
    <w:rsid w:val="003F6BBE"/>
    <w:rsid w:val="003F6F23"/>
    <w:rsid w:val="004000E8"/>
    <w:rsid w:val="00401698"/>
    <w:rsid w:val="00402804"/>
    <w:rsid w:val="00402E2B"/>
    <w:rsid w:val="00402E6D"/>
    <w:rsid w:val="00403277"/>
    <w:rsid w:val="0040344B"/>
    <w:rsid w:val="00403E77"/>
    <w:rsid w:val="0040512B"/>
    <w:rsid w:val="00405CA5"/>
    <w:rsid w:val="00406916"/>
    <w:rsid w:val="00406A0E"/>
    <w:rsid w:val="00407CD3"/>
    <w:rsid w:val="00410134"/>
    <w:rsid w:val="00410B72"/>
    <w:rsid w:val="00410F18"/>
    <w:rsid w:val="0041106B"/>
    <w:rsid w:val="004115D9"/>
    <w:rsid w:val="0041263E"/>
    <w:rsid w:val="00413AAC"/>
    <w:rsid w:val="00413E92"/>
    <w:rsid w:val="00414792"/>
    <w:rsid w:val="004159C3"/>
    <w:rsid w:val="00415ABC"/>
    <w:rsid w:val="00416782"/>
    <w:rsid w:val="00420CF7"/>
    <w:rsid w:val="00421105"/>
    <w:rsid w:val="00422662"/>
    <w:rsid w:val="00422AA4"/>
    <w:rsid w:val="0042414C"/>
    <w:rsid w:val="004242F4"/>
    <w:rsid w:val="00424A0B"/>
    <w:rsid w:val="00425798"/>
    <w:rsid w:val="0042605B"/>
    <w:rsid w:val="00426970"/>
    <w:rsid w:val="00427101"/>
    <w:rsid w:val="00427248"/>
    <w:rsid w:val="00431F1C"/>
    <w:rsid w:val="00432970"/>
    <w:rsid w:val="00434239"/>
    <w:rsid w:val="00435782"/>
    <w:rsid w:val="00437447"/>
    <w:rsid w:val="00441A92"/>
    <w:rsid w:val="0044229B"/>
    <w:rsid w:val="00442FDF"/>
    <w:rsid w:val="00443097"/>
    <w:rsid w:val="004431DC"/>
    <w:rsid w:val="00444F56"/>
    <w:rsid w:val="00446488"/>
    <w:rsid w:val="00447DCB"/>
    <w:rsid w:val="004517AA"/>
    <w:rsid w:val="0045188B"/>
    <w:rsid w:val="00452CAC"/>
    <w:rsid w:val="00453A02"/>
    <w:rsid w:val="00455410"/>
    <w:rsid w:val="00457565"/>
    <w:rsid w:val="00457B71"/>
    <w:rsid w:val="00461F3B"/>
    <w:rsid w:val="00464689"/>
    <w:rsid w:val="00465328"/>
    <w:rsid w:val="004658AB"/>
    <w:rsid w:val="0046597C"/>
    <w:rsid w:val="004669E2"/>
    <w:rsid w:val="00470473"/>
    <w:rsid w:val="00470C31"/>
    <w:rsid w:val="00471B4B"/>
    <w:rsid w:val="00471DE0"/>
    <w:rsid w:val="004734D0"/>
    <w:rsid w:val="0047556B"/>
    <w:rsid w:val="004756CB"/>
    <w:rsid w:val="00477768"/>
    <w:rsid w:val="00485FC9"/>
    <w:rsid w:val="00490B37"/>
    <w:rsid w:val="0049147B"/>
    <w:rsid w:val="004919C0"/>
    <w:rsid w:val="00491E11"/>
    <w:rsid w:val="00492BC5"/>
    <w:rsid w:val="0049403A"/>
    <w:rsid w:val="00494E03"/>
    <w:rsid w:val="004964F1"/>
    <w:rsid w:val="004974A8"/>
    <w:rsid w:val="004A10FF"/>
    <w:rsid w:val="004A1130"/>
    <w:rsid w:val="004A16BC"/>
    <w:rsid w:val="004A1A21"/>
    <w:rsid w:val="004A1BDB"/>
    <w:rsid w:val="004A27F6"/>
    <w:rsid w:val="004A2836"/>
    <w:rsid w:val="004A2B94"/>
    <w:rsid w:val="004A3210"/>
    <w:rsid w:val="004A3924"/>
    <w:rsid w:val="004A5987"/>
    <w:rsid w:val="004B0D1D"/>
    <w:rsid w:val="004B6022"/>
    <w:rsid w:val="004B62FA"/>
    <w:rsid w:val="004B6F6A"/>
    <w:rsid w:val="004B777D"/>
    <w:rsid w:val="004B7B8E"/>
    <w:rsid w:val="004B7C0C"/>
    <w:rsid w:val="004C3898"/>
    <w:rsid w:val="004C44F8"/>
    <w:rsid w:val="004C50F1"/>
    <w:rsid w:val="004C52DE"/>
    <w:rsid w:val="004C55E8"/>
    <w:rsid w:val="004C63BE"/>
    <w:rsid w:val="004D10E7"/>
    <w:rsid w:val="004D1987"/>
    <w:rsid w:val="004D24DB"/>
    <w:rsid w:val="004D36B1"/>
    <w:rsid w:val="004D3F35"/>
    <w:rsid w:val="004D4967"/>
    <w:rsid w:val="004D54FB"/>
    <w:rsid w:val="004D7EBD"/>
    <w:rsid w:val="004E2680"/>
    <w:rsid w:val="004E28F9"/>
    <w:rsid w:val="004E319F"/>
    <w:rsid w:val="004E462E"/>
    <w:rsid w:val="004E56DC"/>
    <w:rsid w:val="004E636F"/>
    <w:rsid w:val="004E6B0F"/>
    <w:rsid w:val="004E76F4"/>
    <w:rsid w:val="004F0B4E"/>
    <w:rsid w:val="004F0B6C"/>
    <w:rsid w:val="004F1C96"/>
    <w:rsid w:val="004F2078"/>
    <w:rsid w:val="004F4DA3"/>
    <w:rsid w:val="005046E3"/>
    <w:rsid w:val="00506484"/>
    <w:rsid w:val="00506557"/>
    <w:rsid w:val="0050677A"/>
    <w:rsid w:val="00507213"/>
    <w:rsid w:val="005108D8"/>
    <w:rsid w:val="005116F9"/>
    <w:rsid w:val="00513B58"/>
    <w:rsid w:val="005153A7"/>
    <w:rsid w:val="005216DE"/>
    <w:rsid w:val="005219CF"/>
    <w:rsid w:val="005253CF"/>
    <w:rsid w:val="00531C08"/>
    <w:rsid w:val="00532029"/>
    <w:rsid w:val="00534B59"/>
    <w:rsid w:val="00536759"/>
    <w:rsid w:val="00537C62"/>
    <w:rsid w:val="00541B46"/>
    <w:rsid w:val="005423D9"/>
    <w:rsid w:val="005443F3"/>
    <w:rsid w:val="00546970"/>
    <w:rsid w:val="0054767E"/>
    <w:rsid w:val="005477CC"/>
    <w:rsid w:val="005509D4"/>
    <w:rsid w:val="00552297"/>
    <w:rsid w:val="00553379"/>
    <w:rsid w:val="00553466"/>
    <w:rsid w:val="00554E19"/>
    <w:rsid w:val="00556828"/>
    <w:rsid w:val="0056121F"/>
    <w:rsid w:val="00563536"/>
    <w:rsid w:val="005678B5"/>
    <w:rsid w:val="005714FA"/>
    <w:rsid w:val="0057217B"/>
    <w:rsid w:val="00572505"/>
    <w:rsid w:val="00572C83"/>
    <w:rsid w:val="00573652"/>
    <w:rsid w:val="00576C93"/>
    <w:rsid w:val="00580448"/>
    <w:rsid w:val="00581AFC"/>
    <w:rsid w:val="00582809"/>
    <w:rsid w:val="0058798C"/>
    <w:rsid w:val="005900FA"/>
    <w:rsid w:val="00590F0C"/>
    <w:rsid w:val="005935A4"/>
    <w:rsid w:val="005948C2"/>
    <w:rsid w:val="00594DC5"/>
    <w:rsid w:val="00595DCA"/>
    <w:rsid w:val="0059779B"/>
    <w:rsid w:val="00597AA9"/>
    <w:rsid w:val="005A209A"/>
    <w:rsid w:val="005A4988"/>
    <w:rsid w:val="005A4CF7"/>
    <w:rsid w:val="005A6410"/>
    <w:rsid w:val="005A662D"/>
    <w:rsid w:val="005A7741"/>
    <w:rsid w:val="005A7AA9"/>
    <w:rsid w:val="005B0E5A"/>
    <w:rsid w:val="005B1409"/>
    <w:rsid w:val="005B331D"/>
    <w:rsid w:val="005B35D7"/>
    <w:rsid w:val="005B392A"/>
    <w:rsid w:val="005B3AA3"/>
    <w:rsid w:val="005B43E6"/>
    <w:rsid w:val="005B6F83"/>
    <w:rsid w:val="005C098F"/>
    <w:rsid w:val="005C1E20"/>
    <w:rsid w:val="005C3880"/>
    <w:rsid w:val="005C4A57"/>
    <w:rsid w:val="005C590D"/>
    <w:rsid w:val="005C6283"/>
    <w:rsid w:val="005C74FB"/>
    <w:rsid w:val="005D0A54"/>
    <w:rsid w:val="005D1602"/>
    <w:rsid w:val="005D2A34"/>
    <w:rsid w:val="005D3AB9"/>
    <w:rsid w:val="005D5984"/>
    <w:rsid w:val="005D70E1"/>
    <w:rsid w:val="005D7EE0"/>
    <w:rsid w:val="005E1070"/>
    <w:rsid w:val="005E1238"/>
    <w:rsid w:val="005E385F"/>
    <w:rsid w:val="005E3E4B"/>
    <w:rsid w:val="005E48A2"/>
    <w:rsid w:val="005E5B81"/>
    <w:rsid w:val="005E7211"/>
    <w:rsid w:val="005F0A43"/>
    <w:rsid w:val="005F1727"/>
    <w:rsid w:val="005F1BA8"/>
    <w:rsid w:val="005F2CB1"/>
    <w:rsid w:val="005F3025"/>
    <w:rsid w:val="005F3E72"/>
    <w:rsid w:val="005F4AB7"/>
    <w:rsid w:val="005F4C86"/>
    <w:rsid w:val="005F59AD"/>
    <w:rsid w:val="005F618C"/>
    <w:rsid w:val="005F70BD"/>
    <w:rsid w:val="00601373"/>
    <w:rsid w:val="006021CC"/>
    <w:rsid w:val="0060283C"/>
    <w:rsid w:val="00604F14"/>
    <w:rsid w:val="00605795"/>
    <w:rsid w:val="00606C61"/>
    <w:rsid w:val="00611B83"/>
    <w:rsid w:val="00613257"/>
    <w:rsid w:val="00614E60"/>
    <w:rsid w:val="00615285"/>
    <w:rsid w:val="00616BF5"/>
    <w:rsid w:val="00617C64"/>
    <w:rsid w:val="00620A71"/>
    <w:rsid w:val="00620D80"/>
    <w:rsid w:val="006234A6"/>
    <w:rsid w:val="00623BFB"/>
    <w:rsid w:val="00630001"/>
    <w:rsid w:val="00630558"/>
    <w:rsid w:val="006311B3"/>
    <w:rsid w:val="0063284C"/>
    <w:rsid w:val="00633FE7"/>
    <w:rsid w:val="00634FC3"/>
    <w:rsid w:val="00635D0C"/>
    <w:rsid w:val="00636398"/>
    <w:rsid w:val="006368D3"/>
    <w:rsid w:val="006377EC"/>
    <w:rsid w:val="00641236"/>
    <w:rsid w:val="0064151F"/>
    <w:rsid w:val="00641533"/>
    <w:rsid w:val="0064208D"/>
    <w:rsid w:val="00643475"/>
    <w:rsid w:val="0064396A"/>
    <w:rsid w:val="00644F27"/>
    <w:rsid w:val="0064594D"/>
    <w:rsid w:val="00645C95"/>
    <w:rsid w:val="0064624E"/>
    <w:rsid w:val="00646EE9"/>
    <w:rsid w:val="00650AB9"/>
    <w:rsid w:val="00650CBF"/>
    <w:rsid w:val="00650F2B"/>
    <w:rsid w:val="00651432"/>
    <w:rsid w:val="006525D2"/>
    <w:rsid w:val="006526EC"/>
    <w:rsid w:val="00655733"/>
    <w:rsid w:val="00655ACD"/>
    <w:rsid w:val="00655CEF"/>
    <w:rsid w:val="00656354"/>
    <w:rsid w:val="00656A92"/>
    <w:rsid w:val="00656DDE"/>
    <w:rsid w:val="00657B37"/>
    <w:rsid w:val="0066011D"/>
    <w:rsid w:val="006606A8"/>
    <w:rsid w:val="006607C0"/>
    <w:rsid w:val="006613A6"/>
    <w:rsid w:val="006627A2"/>
    <w:rsid w:val="006634E6"/>
    <w:rsid w:val="00663F19"/>
    <w:rsid w:val="0066477D"/>
    <w:rsid w:val="006654E3"/>
    <w:rsid w:val="006655EE"/>
    <w:rsid w:val="006673EB"/>
    <w:rsid w:val="00667951"/>
    <w:rsid w:val="00667EE7"/>
    <w:rsid w:val="00670922"/>
    <w:rsid w:val="00670BE1"/>
    <w:rsid w:val="0067218F"/>
    <w:rsid w:val="00672C9A"/>
    <w:rsid w:val="006741F2"/>
    <w:rsid w:val="00674CC3"/>
    <w:rsid w:val="00675BC6"/>
    <w:rsid w:val="00675C72"/>
    <w:rsid w:val="0067656C"/>
    <w:rsid w:val="006771F9"/>
    <w:rsid w:val="006776D7"/>
    <w:rsid w:val="00681003"/>
    <w:rsid w:val="0068173B"/>
    <w:rsid w:val="0068179D"/>
    <w:rsid w:val="006817C9"/>
    <w:rsid w:val="00682D91"/>
    <w:rsid w:val="00683244"/>
    <w:rsid w:val="00683ECE"/>
    <w:rsid w:val="006842C8"/>
    <w:rsid w:val="00687C1A"/>
    <w:rsid w:val="006953E8"/>
    <w:rsid w:val="00695FC2"/>
    <w:rsid w:val="00696949"/>
    <w:rsid w:val="00696AB5"/>
    <w:rsid w:val="00697052"/>
    <w:rsid w:val="006A0004"/>
    <w:rsid w:val="006A0D20"/>
    <w:rsid w:val="006A3884"/>
    <w:rsid w:val="006A46FB"/>
    <w:rsid w:val="006A5E28"/>
    <w:rsid w:val="006A681E"/>
    <w:rsid w:val="006A697B"/>
    <w:rsid w:val="006A717E"/>
    <w:rsid w:val="006A7AFF"/>
    <w:rsid w:val="006B1816"/>
    <w:rsid w:val="006B1E03"/>
    <w:rsid w:val="006B1E43"/>
    <w:rsid w:val="006B2099"/>
    <w:rsid w:val="006B25A4"/>
    <w:rsid w:val="006B2E8A"/>
    <w:rsid w:val="006B50CF"/>
    <w:rsid w:val="006B5D98"/>
    <w:rsid w:val="006B6367"/>
    <w:rsid w:val="006C03B8"/>
    <w:rsid w:val="006C19A1"/>
    <w:rsid w:val="006C2F5B"/>
    <w:rsid w:val="006C5EC9"/>
    <w:rsid w:val="006C6059"/>
    <w:rsid w:val="006C7522"/>
    <w:rsid w:val="006C78E7"/>
    <w:rsid w:val="006D23A6"/>
    <w:rsid w:val="006D55C7"/>
    <w:rsid w:val="006D5F75"/>
    <w:rsid w:val="006D6F08"/>
    <w:rsid w:val="006D7B5E"/>
    <w:rsid w:val="006D7D51"/>
    <w:rsid w:val="006E062C"/>
    <w:rsid w:val="006E1C82"/>
    <w:rsid w:val="006E28B7"/>
    <w:rsid w:val="006E2A9B"/>
    <w:rsid w:val="006E3310"/>
    <w:rsid w:val="006E38F4"/>
    <w:rsid w:val="006E4E39"/>
    <w:rsid w:val="006E565E"/>
    <w:rsid w:val="006E5AC4"/>
    <w:rsid w:val="006E5C12"/>
    <w:rsid w:val="006E5DCE"/>
    <w:rsid w:val="006E673D"/>
    <w:rsid w:val="006E7CBF"/>
    <w:rsid w:val="006E7D3B"/>
    <w:rsid w:val="006F0F90"/>
    <w:rsid w:val="006F1B70"/>
    <w:rsid w:val="006F341D"/>
    <w:rsid w:val="006F3CDE"/>
    <w:rsid w:val="006F44B2"/>
    <w:rsid w:val="006F58D4"/>
    <w:rsid w:val="006F6582"/>
    <w:rsid w:val="006F7184"/>
    <w:rsid w:val="006F781D"/>
    <w:rsid w:val="0070107B"/>
    <w:rsid w:val="00701D14"/>
    <w:rsid w:val="00702064"/>
    <w:rsid w:val="007029A8"/>
    <w:rsid w:val="0070346E"/>
    <w:rsid w:val="00704A2E"/>
    <w:rsid w:val="00704EDB"/>
    <w:rsid w:val="00706101"/>
    <w:rsid w:val="00707072"/>
    <w:rsid w:val="00707D61"/>
    <w:rsid w:val="007113B8"/>
    <w:rsid w:val="00712287"/>
    <w:rsid w:val="00712772"/>
    <w:rsid w:val="00713FF8"/>
    <w:rsid w:val="0071444B"/>
    <w:rsid w:val="007148D3"/>
    <w:rsid w:val="00715B9A"/>
    <w:rsid w:val="007242CA"/>
    <w:rsid w:val="007257D0"/>
    <w:rsid w:val="007266BC"/>
    <w:rsid w:val="00726B8D"/>
    <w:rsid w:val="00726EA6"/>
    <w:rsid w:val="00727208"/>
    <w:rsid w:val="007273E4"/>
    <w:rsid w:val="00727680"/>
    <w:rsid w:val="0073246B"/>
    <w:rsid w:val="007324FE"/>
    <w:rsid w:val="007330EB"/>
    <w:rsid w:val="00733229"/>
    <w:rsid w:val="007348B1"/>
    <w:rsid w:val="00734AE8"/>
    <w:rsid w:val="00735517"/>
    <w:rsid w:val="007362A6"/>
    <w:rsid w:val="00736B07"/>
    <w:rsid w:val="00736D7D"/>
    <w:rsid w:val="007402E4"/>
    <w:rsid w:val="007403BF"/>
    <w:rsid w:val="007406CA"/>
    <w:rsid w:val="00740E58"/>
    <w:rsid w:val="007420DA"/>
    <w:rsid w:val="00743F87"/>
    <w:rsid w:val="007445A0"/>
    <w:rsid w:val="0074524B"/>
    <w:rsid w:val="00747156"/>
    <w:rsid w:val="00747D8B"/>
    <w:rsid w:val="00751078"/>
    <w:rsid w:val="00751228"/>
    <w:rsid w:val="00751EAD"/>
    <w:rsid w:val="00753005"/>
    <w:rsid w:val="007531C4"/>
    <w:rsid w:val="00753954"/>
    <w:rsid w:val="0075562F"/>
    <w:rsid w:val="007571E1"/>
    <w:rsid w:val="007604B2"/>
    <w:rsid w:val="00760D0B"/>
    <w:rsid w:val="00762FB4"/>
    <w:rsid w:val="00765281"/>
    <w:rsid w:val="007656C4"/>
    <w:rsid w:val="00766BAD"/>
    <w:rsid w:val="00767857"/>
    <w:rsid w:val="007712E0"/>
    <w:rsid w:val="00771318"/>
    <w:rsid w:val="007729A2"/>
    <w:rsid w:val="00772B62"/>
    <w:rsid w:val="00773AF2"/>
    <w:rsid w:val="0077513B"/>
    <w:rsid w:val="007755F2"/>
    <w:rsid w:val="00776971"/>
    <w:rsid w:val="00777C4D"/>
    <w:rsid w:val="007803A9"/>
    <w:rsid w:val="00780A80"/>
    <w:rsid w:val="0078177E"/>
    <w:rsid w:val="00781A58"/>
    <w:rsid w:val="0078304C"/>
    <w:rsid w:val="00783673"/>
    <w:rsid w:val="00784E9A"/>
    <w:rsid w:val="00784EF4"/>
    <w:rsid w:val="00785490"/>
    <w:rsid w:val="007860B4"/>
    <w:rsid w:val="0078669C"/>
    <w:rsid w:val="00787287"/>
    <w:rsid w:val="007913AC"/>
    <w:rsid w:val="007925EA"/>
    <w:rsid w:val="00793543"/>
    <w:rsid w:val="007939CB"/>
    <w:rsid w:val="00793CD8"/>
    <w:rsid w:val="0079525E"/>
    <w:rsid w:val="00795C92"/>
    <w:rsid w:val="00796231"/>
    <w:rsid w:val="00796FA2"/>
    <w:rsid w:val="007977D5"/>
    <w:rsid w:val="007A07DD"/>
    <w:rsid w:val="007A1CB3"/>
    <w:rsid w:val="007A306F"/>
    <w:rsid w:val="007A43A6"/>
    <w:rsid w:val="007A58A6"/>
    <w:rsid w:val="007A6056"/>
    <w:rsid w:val="007A6E10"/>
    <w:rsid w:val="007B12FF"/>
    <w:rsid w:val="007B1CFC"/>
    <w:rsid w:val="007B3D2D"/>
    <w:rsid w:val="007B50AE"/>
    <w:rsid w:val="007B51DF"/>
    <w:rsid w:val="007B6662"/>
    <w:rsid w:val="007C05DD"/>
    <w:rsid w:val="007C3D18"/>
    <w:rsid w:val="007C3E77"/>
    <w:rsid w:val="007C500D"/>
    <w:rsid w:val="007C53DC"/>
    <w:rsid w:val="007C60BF"/>
    <w:rsid w:val="007C6A07"/>
    <w:rsid w:val="007C6C38"/>
    <w:rsid w:val="007C75A1"/>
    <w:rsid w:val="007C77A5"/>
    <w:rsid w:val="007C7E7D"/>
    <w:rsid w:val="007D0072"/>
    <w:rsid w:val="007D04E5"/>
    <w:rsid w:val="007D4D01"/>
    <w:rsid w:val="007D5901"/>
    <w:rsid w:val="007D6515"/>
    <w:rsid w:val="007D7526"/>
    <w:rsid w:val="007E0915"/>
    <w:rsid w:val="007E1346"/>
    <w:rsid w:val="007E1729"/>
    <w:rsid w:val="007E2408"/>
    <w:rsid w:val="007E3565"/>
    <w:rsid w:val="007E41A7"/>
    <w:rsid w:val="007E4610"/>
    <w:rsid w:val="007E4715"/>
    <w:rsid w:val="007E505B"/>
    <w:rsid w:val="007E681B"/>
    <w:rsid w:val="007E7091"/>
    <w:rsid w:val="007E70B1"/>
    <w:rsid w:val="007F1DD2"/>
    <w:rsid w:val="007F490B"/>
    <w:rsid w:val="007F58D5"/>
    <w:rsid w:val="007F78FE"/>
    <w:rsid w:val="00800727"/>
    <w:rsid w:val="0080187F"/>
    <w:rsid w:val="00801DD9"/>
    <w:rsid w:val="00803FAE"/>
    <w:rsid w:val="0080410C"/>
    <w:rsid w:val="008045D0"/>
    <w:rsid w:val="0080605F"/>
    <w:rsid w:val="00807786"/>
    <w:rsid w:val="008114F5"/>
    <w:rsid w:val="00811FCB"/>
    <w:rsid w:val="00813F91"/>
    <w:rsid w:val="008158D6"/>
    <w:rsid w:val="008170C8"/>
    <w:rsid w:val="00817196"/>
    <w:rsid w:val="008179B3"/>
    <w:rsid w:val="0082143D"/>
    <w:rsid w:val="00821AD2"/>
    <w:rsid w:val="00822421"/>
    <w:rsid w:val="008235DB"/>
    <w:rsid w:val="00824AB4"/>
    <w:rsid w:val="00825C42"/>
    <w:rsid w:val="00825D25"/>
    <w:rsid w:val="00827D6F"/>
    <w:rsid w:val="00830243"/>
    <w:rsid w:val="008307C0"/>
    <w:rsid w:val="008315A9"/>
    <w:rsid w:val="008317DA"/>
    <w:rsid w:val="0083327B"/>
    <w:rsid w:val="008376AC"/>
    <w:rsid w:val="00841AE2"/>
    <w:rsid w:val="008420D8"/>
    <w:rsid w:val="008438D5"/>
    <w:rsid w:val="008444E8"/>
    <w:rsid w:val="008445EB"/>
    <w:rsid w:val="00844E80"/>
    <w:rsid w:val="008458FE"/>
    <w:rsid w:val="00846FE7"/>
    <w:rsid w:val="00847D06"/>
    <w:rsid w:val="00850F9A"/>
    <w:rsid w:val="008526D4"/>
    <w:rsid w:val="00856911"/>
    <w:rsid w:val="008569E5"/>
    <w:rsid w:val="00860233"/>
    <w:rsid w:val="00861B27"/>
    <w:rsid w:val="008646A9"/>
    <w:rsid w:val="00865CDF"/>
    <w:rsid w:val="0086612D"/>
    <w:rsid w:val="008677FD"/>
    <w:rsid w:val="008706D4"/>
    <w:rsid w:val="00870F8A"/>
    <w:rsid w:val="008719A4"/>
    <w:rsid w:val="00871D23"/>
    <w:rsid w:val="00872FB3"/>
    <w:rsid w:val="00874312"/>
    <w:rsid w:val="0087437C"/>
    <w:rsid w:val="00875CD7"/>
    <w:rsid w:val="008764C6"/>
    <w:rsid w:val="008765BD"/>
    <w:rsid w:val="00876B4D"/>
    <w:rsid w:val="00876C61"/>
    <w:rsid w:val="00877F18"/>
    <w:rsid w:val="00880D30"/>
    <w:rsid w:val="008811FE"/>
    <w:rsid w:val="008865CD"/>
    <w:rsid w:val="00887632"/>
    <w:rsid w:val="008941E3"/>
    <w:rsid w:val="00894A88"/>
    <w:rsid w:val="00895386"/>
    <w:rsid w:val="00896F26"/>
    <w:rsid w:val="0089716D"/>
    <w:rsid w:val="00897F4E"/>
    <w:rsid w:val="008A06D1"/>
    <w:rsid w:val="008A21FF"/>
    <w:rsid w:val="008A2CE2"/>
    <w:rsid w:val="008A30AC"/>
    <w:rsid w:val="008A345E"/>
    <w:rsid w:val="008A35CE"/>
    <w:rsid w:val="008A44B8"/>
    <w:rsid w:val="008A51A8"/>
    <w:rsid w:val="008A54C7"/>
    <w:rsid w:val="008A6566"/>
    <w:rsid w:val="008A77D8"/>
    <w:rsid w:val="008B0483"/>
    <w:rsid w:val="008B120C"/>
    <w:rsid w:val="008B1A14"/>
    <w:rsid w:val="008B51A0"/>
    <w:rsid w:val="008B592A"/>
    <w:rsid w:val="008B716E"/>
    <w:rsid w:val="008B7B5C"/>
    <w:rsid w:val="008B7D70"/>
    <w:rsid w:val="008C0C99"/>
    <w:rsid w:val="008C2017"/>
    <w:rsid w:val="008C27B4"/>
    <w:rsid w:val="008C2CB8"/>
    <w:rsid w:val="008C39E4"/>
    <w:rsid w:val="008C3DC3"/>
    <w:rsid w:val="008C4958"/>
    <w:rsid w:val="008C4A91"/>
    <w:rsid w:val="008C4BAA"/>
    <w:rsid w:val="008C5AC6"/>
    <w:rsid w:val="008C6AE8"/>
    <w:rsid w:val="008C6D09"/>
    <w:rsid w:val="008C7573"/>
    <w:rsid w:val="008C7E64"/>
    <w:rsid w:val="008D00A5"/>
    <w:rsid w:val="008D34F1"/>
    <w:rsid w:val="008D39D8"/>
    <w:rsid w:val="008D5794"/>
    <w:rsid w:val="008D59A0"/>
    <w:rsid w:val="008D6005"/>
    <w:rsid w:val="008D6D1A"/>
    <w:rsid w:val="008E058C"/>
    <w:rsid w:val="008E065E"/>
    <w:rsid w:val="008E0927"/>
    <w:rsid w:val="008E1571"/>
    <w:rsid w:val="008E1909"/>
    <w:rsid w:val="008E370A"/>
    <w:rsid w:val="008E5ABD"/>
    <w:rsid w:val="008F1C4E"/>
    <w:rsid w:val="008F1EAB"/>
    <w:rsid w:val="008F33BE"/>
    <w:rsid w:val="008F33DC"/>
    <w:rsid w:val="008F42DB"/>
    <w:rsid w:val="008F477F"/>
    <w:rsid w:val="008F5103"/>
    <w:rsid w:val="008F67CB"/>
    <w:rsid w:val="00902350"/>
    <w:rsid w:val="0090275F"/>
    <w:rsid w:val="0090336B"/>
    <w:rsid w:val="00903AE4"/>
    <w:rsid w:val="009053AA"/>
    <w:rsid w:val="00906939"/>
    <w:rsid w:val="009107B5"/>
    <w:rsid w:val="00910B7D"/>
    <w:rsid w:val="009115D1"/>
    <w:rsid w:val="00911DFB"/>
    <w:rsid w:val="0091291E"/>
    <w:rsid w:val="009139D9"/>
    <w:rsid w:val="009146AF"/>
    <w:rsid w:val="009149DD"/>
    <w:rsid w:val="00914AD8"/>
    <w:rsid w:val="00916079"/>
    <w:rsid w:val="00917CE9"/>
    <w:rsid w:val="0092075B"/>
    <w:rsid w:val="00920BF2"/>
    <w:rsid w:val="0092181E"/>
    <w:rsid w:val="00922010"/>
    <w:rsid w:val="0092204E"/>
    <w:rsid w:val="00926768"/>
    <w:rsid w:val="0092735F"/>
    <w:rsid w:val="00927B75"/>
    <w:rsid w:val="00930C1D"/>
    <w:rsid w:val="00931B6E"/>
    <w:rsid w:val="00931BD9"/>
    <w:rsid w:val="009368F3"/>
    <w:rsid w:val="00940283"/>
    <w:rsid w:val="00941189"/>
    <w:rsid w:val="00941636"/>
    <w:rsid w:val="0094258A"/>
    <w:rsid w:val="00943742"/>
    <w:rsid w:val="00945C05"/>
    <w:rsid w:val="00946945"/>
    <w:rsid w:val="00947713"/>
    <w:rsid w:val="00950DE7"/>
    <w:rsid w:val="009513D9"/>
    <w:rsid w:val="00953622"/>
    <w:rsid w:val="00953920"/>
    <w:rsid w:val="00953D47"/>
    <w:rsid w:val="00953F43"/>
    <w:rsid w:val="00954C25"/>
    <w:rsid w:val="00955449"/>
    <w:rsid w:val="0095681E"/>
    <w:rsid w:val="009572D4"/>
    <w:rsid w:val="00957878"/>
    <w:rsid w:val="00961921"/>
    <w:rsid w:val="009633A1"/>
    <w:rsid w:val="0096430A"/>
    <w:rsid w:val="0096554B"/>
    <w:rsid w:val="0096584A"/>
    <w:rsid w:val="00966A83"/>
    <w:rsid w:val="00967237"/>
    <w:rsid w:val="00970584"/>
    <w:rsid w:val="00971F08"/>
    <w:rsid w:val="00974177"/>
    <w:rsid w:val="0097603D"/>
    <w:rsid w:val="00976949"/>
    <w:rsid w:val="00977511"/>
    <w:rsid w:val="00980477"/>
    <w:rsid w:val="009816F1"/>
    <w:rsid w:val="0098287E"/>
    <w:rsid w:val="00982F4B"/>
    <w:rsid w:val="00984436"/>
    <w:rsid w:val="00985253"/>
    <w:rsid w:val="009853B3"/>
    <w:rsid w:val="009869A2"/>
    <w:rsid w:val="00990630"/>
    <w:rsid w:val="009906EE"/>
    <w:rsid w:val="00990A1A"/>
    <w:rsid w:val="00991761"/>
    <w:rsid w:val="00992713"/>
    <w:rsid w:val="00994DCA"/>
    <w:rsid w:val="009960EC"/>
    <w:rsid w:val="009970DD"/>
    <w:rsid w:val="00997FBE"/>
    <w:rsid w:val="009A0FBA"/>
    <w:rsid w:val="009A1601"/>
    <w:rsid w:val="009A3BB6"/>
    <w:rsid w:val="009A4091"/>
    <w:rsid w:val="009A462D"/>
    <w:rsid w:val="009A5CBA"/>
    <w:rsid w:val="009A63FD"/>
    <w:rsid w:val="009A7D51"/>
    <w:rsid w:val="009B1F30"/>
    <w:rsid w:val="009B241D"/>
    <w:rsid w:val="009B3AC2"/>
    <w:rsid w:val="009B3C5D"/>
    <w:rsid w:val="009B4DF4"/>
    <w:rsid w:val="009B4FD8"/>
    <w:rsid w:val="009B5384"/>
    <w:rsid w:val="009B564E"/>
    <w:rsid w:val="009B613C"/>
    <w:rsid w:val="009B7E87"/>
    <w:rsid w:val="009C0169"/>
    <w:rsid w:val="009C2D28"/>
    <w:rsid w:val="009C335A"/>
    <w:rsid w:val="009C3F86"/>
    <w:rsid w:val="009C403E"/>
    <w:rsid w:val="009C4AB1"/>
    <w:rsid w:val="009D18B0"/>
    <w:rsid w:val="009D21E6"/>
    <w:rsid w:val="009D2AB0"/>
    <w:rsid w:val="009D4BAD"/>
    <w:rsid w:val="009D4FF0"/>
    <w:rsid w:val="009D5BFF"/>
    <w:rsid w:val="009D6692"/>
    <w:rsid w:val="009D6E08"/>
    <w:rsid w:val="009D703C"/>
    <w:rsid w:val="009D718F"/>
    <w:rsid w:val="009E0020"/>
    <w:rsid w:val="009E045C"/>
    <w:rsid w:val="009E068F"/>
    <w:rsid w:val="009E14E0"/>
    <w:rsid w:val="009E1DF0"/>
    <w:rsid w:val="009E2C63"/>
    <w:rsid w:val="009E35DB"/>
    <w:rsid w:val="009E47A3"/>
    <w:rsid w:val="009E5B9C"/>
    <w:rsid w:val="009E62FE"/>
    <w:rsid w:val="009F000A"/>
    <w:rsid w:val="009F08F3"/>
    <w:rsid w:val="009F0A93"/>
    <w:rsid w:val="009F344F"/>
    <w:rsid w:val="009F3917"/>
    <w:rsid w:val="009F43EF"/>
    <w:rsid w:val="009F4BBC"/>
    <w:rsid w:val="00A031D8"/>
    <w:rsid w:val="00A03B08"/>
    <w:rsid w:val="00A0433B"/>
    <w:rsid w:val="00A048A8"/>
    <w:rsid w:val="00A04F49"/>
    <w:rsid w:val="00A105DC"/>
    <w:rsid w:val="00A11659"/>
    <w:rsid w:val="00A11B5D"/>
    <w:rsid w:val="00A12639"/>
    <w:rsid w:val="00A13E54"/>
    <w:rsid w:val="00A160D0"/>
    <w:rsid w:val="00A16BDB"/>
    <w:rsid w:val="00A16C24"/>
    <w:rsid w:val="00A1742D"/>
    <w:rsid w:val="00A17F63"/>
    <w:rsid w:val="00A20735"/>
    <w:rsid w:val="00A2193B"/>
    <w:rsid w:val="00A2351A"/>
    <w:rsid w:val="00A23B29"/>
    <w:rsid w:val="00A24793"/>
    <w:rsid w:val="00A264A9"/>
    <w:rsid w:val="00A26DCF"/>
    <w:rsid w:val="00A27785"/>
    <w:rsid w:val="00A27E9E"/>
    <w:rsid w:val="00A30187"/>
    <w:rsid w:val="00A30282"/>
    <w:rsid w:val="00A33FFC"/>
    <w:rsid w:val="00A3448A"/>
    <w:rsid w:val="00A36297"/>
    <w:rsid w:val="00A37943"/>
    <w:rsid w:val="00A40B81"/>
    <w:rsid w:val="00A41995"/>
    <w:rsid w:val="00A41E2B"/>
    <w:rsid w:val="00A42243"/>
    <w:rsid w:val="00A423D5"/>
    <w:rsid w:val="00A43547"/>
    <w:rsid w:val="00A437FC"/>
    <w:rsid w:val="00A44887"/>
    <w:rsid w:val="00A45B74"/>
    <w:rsid w:val="00A5265A"/>
    <w:rsid w:val="00A52E1D"/>
    <w:rsid w:val="00A53A0D"/>
    <w:rsid w:val="00A60803"/>
    <w:rsid w:val="00A61499"/>
    <w:rsid w:val="00A62A77"/>
    <w:rsid w:val="00A63483"/>
    <w:rsid w:val="00A657D7"/>
    <w:rsid w:val="00A659E2"/>
    <w:rsid w:val="00A660AC"/>
    <w:rsid w:val="00A67E6C"/>
    <w:rsid w:val="00A7063D"/>
    <w:rsid w:val="00A71004"/>
    <w:rsid w:val="00A71B99"/>
    <w:rsid w:val="00A739D0"/>
    <w:rsid w:val="00A740B1"/>
    <w:rsid w:val="00A741BC"/>
    <w:rsid w:val="00A74233"/>
    <w:rsid w:val="00A74A16"/>
    <w:rsid w:val="00A7589E"/>
    <w:rsid w:val="00A761D4"/>
    <w:rsid w:val="00A77253"/>
    <w:rsid w:val="00A77EC4"/>
    <w:rsid w:val="00A812A4"/>
    <w:rsid w:val="00A8133B"/>
    <w:rsid w:val="00A813EE"/>
    <w:rsid w:val="00A822D3"/>
    <w:rsid w:val="00A828F3"/>
    <w:rsid w:val="00A82C95"/>
    <w:rsid w:val="00A85EC7"/>
    <w:rsid w:val="00A913CC"/>
    <w:rsid w:val="00A917A9"/>
    <w:rsid w:val="00A92879"/>
    <w:rsid w:val="00A93666"/>
    <w:rsid w:val="00A9442A"/>
    <w:rsid w:val="00A9455E"/>
    <w:rsid w:val="00A94D99"/>
    <w:rsid w:val="00A95518"/>
    <w:rsid w:val="00A97F30"/>
    <w:rsid w:val="00AA0159"/>
    <w:rsid w:val="00AA016F"/>
    <w:rsid w:val="00AA0656"/>
    <w:rsid w:val="00AA1ED6"/>
    <w:rsid w:val="00AA4BCD"/>
    <w:rsid w:val="00AA4C36"/>
    <w:rsid w:val="00AA51D6"/>
    <w:rsid w:val="00AA6EDF"/>
    <w:rsid w:val="00AA7067"/>
    <w:rsid w:val="00AB0848"/>
    <w:rsid w:val="00AB0BC8"/>
    <w:rsid w:val="00AB0E29"/>
    <w:rsid w:val="00AB1180"/>
    <w:rsid w:val="00AB11CA"/>
    <w:rsid w:val="00AB14D9"/>
    <w:rsid w:val="00AB1B7B"/>
    <w:rsid w:val="00AB2A7E"/>
    <w:rsid w:val="00AB4AB8"/>
    <w:rsid w:val="00AB4DBC"/>
    <w:rsid w:val="00AB655E"/>
    <w:rsid w:val="00AC007F"/>
    <w:rsid w:val="00AC2ECD"/>
    <w:rsid w:val="00AC3119"/>
    <w:rsid w:val="00AC46A7"/>
    <w:rsid w:val="00AC49FB"/>
    <w:rsid w:val="00AC5A10"/>
    <w:rsid w:val="00AC6723"/>
    <w:rsid w:val="00AC72B4"/>
    <w:rsid w:val="00AD09BA"/>
    <w:rsid w:val="00AD0AA3"/>
    <w:rsid w:val="00AD1011"/>
    <w:rsid w:val="00AD19CA"/>
    <w:rsid w:val="00AD2ED0"/>
    <w:rsid w:val="00AD3910"/>
    <w:rsid w:val="00AD3F94"/>
    <w:rsid w:val="00AD4A5A"/>
    <w:rsid w:val="00AD4BAF"/>
    <w:rsid w:val="00AD5B3C"/>
    <w:rsid w:val="00AD7140"/>
    <w:rsid w:val="00AD73B8"/>
    <w:rsid w:val="00AE08C3"/>
    <w:rsid w:val="00AE1376"/>
    <w:rsid w:val="00AE27AC"/>
    <w:rsid w:val="00AE2998"/>
    <w:rsid w:val="00AE40E0"/>
    <w:rsid w:val="00AE4B34"/>
    <w:rsid w:val="00AE4DBA"/>
    <w:rsid w:val="00AE4F07"/>
    <w:rsid w:val="00AE53A3"/>
    <w:rsid w:val="00AE5E06"/>
    <w:rsid w:val="00AE6377"/>
    <w:rsid w:val="00AE6E72"/>
    <w:rsid w:val="00AF1C5D"/>
    <w:rsid w:val="00AF341E"/>
    <w:rsid w:val="00AF42D7"/>
    <w:rsid w:val="00AF5D53"/>
    <w:rsid w:val="00B00127"/>
    <w:rsid w:val="00B00282"/>
    <w:rsid w:val="00B006FE"/>
    <w:rsid w:val="00B007CB"/>
    <w:rsid w:val="00B011AB"/>
    <w:rsid w:val="00B01C0E"/>
    <w:rsid w:val="00B01CBE"/>
    <w:rsid w:val="00B020FD"/>
    <w:rsid w:val="00B02AA9"/>
    <w:rsid w:val="00B02FA3"/>
    <w:rsid w:val="00B04001"/>
    <w:rsid w:val="00B04797"/>
    <w:rsid w:val="00B05084"/>
    <w:rsid w:val="00B066B0"/>
    <w:rsid w:val="00B12DFF"/>
    <w:rsid w:val="00B142F8"/>
    <w:rsid w:val="00B14A68"/>
    <w:rsid w:val="00B157F9"/>
    <w:rsid w:val="00B20256"/>
    <w:rsid w:val="00B20D09"/>
    <w:rsid w:val="00B21359"/>
    <w:rsid w:val="00B24C1A"/>
    <w:rsid w:val="00B2763F"/>
    <w:rsid w:val="00B27AAC"/>
    <w:rsid w:val="00B30929"/>
    <w:rsid w:val="00B30DE1"/>
    <w:rsid w:val="00B32B0B"/>
    <w:rsid w:val="00B36E44"/>
    <w:rsid w:val="00B372AA"/>
    <w:rsid w:val="00B379D3"/>
    <w:rsid w:val="00B37A5A"/>
    <w:rsid w:val="00B40445"/>
    <w:rsid w:val="00B409E0"/>
    <w:rsid w:val="00B41888"/>
    <w:rsid w:val="00B42B29"/>
    <w:rsid w:val="00B45A52"/>
    <w:rsid w:val="00B46175"/>
    <w:rsid w:val="00B46CE3"/>
    <w:rsid w:val="00B514C8"/>
    <w:rsid w:val="00B53412"/>
    <w:rsid w:val="00B541F4"/>
    <w:rsid w:val="00B548B7"/>
    <w:rsid w:val="00B576E8"/>
    <w:rsid w:val="00B62F91"/>
    <w:rsid w:val="00B640D8"/>
    <w:rsid w:val="00B664C7"/>
    <w:rsid w:val="00B73989"/>
    <w:rsid w:val="00B739F6"/>
    <w:rsid w:val="00B7438E"/>
    <w:rsid w:val="00B755B5"/>
    <w:rsid w:val="00B75F1D"/>
    <w:rsid w:val="00B762D7"/>
    <w:rsid w:val="00B811C0"/>
    <w:rsid w:val="00B81974"/>
    <w:rsid w:val="00B81A6C"/>
    <w:rsid w:val="00B858F8"/>
    <w:rsid w:val="00B85C7C"/>
    <w:rsid w:val="00B85DE5"/>
    <w:rsid w:val="00B90727"/>
    <w:rsid w:val="00B90962"/>
    <w:rsid w:val="00B90F73"/>
    <w:rsid w:val="00B93B59"/>
    <w:rsid w:val="00B9406A"/>
    <w:rsid w:val="00B9471E"/>
    <w:rsid w:val="00B94B76"/>
    <w:rsid w:val="00B9615B"/>
    <w:rsid w:val="00B96390"/>
    <w:rsid w:val="00B96B56"/>
    <w:rsid w:val="00B973C1"/>
    <w:rsid w:val="00BA0DF9"/>
    <w:rsid w:val="00BA11A7"/>
    <w:rsid w:val="00BA207E"/>
    <w:rsid w:val="00BA2280"/>
    <w:rsid w:val="00BA2A08"/>
    <w:rsid w:val="00BA53D9"/>
    <w:rsid w:val="00BA56BA"/>
    <w:rsid w:val="00BA56D2"/>
    <w:rsid w:val="00BA7227"/>
    <w:rsid w:val="00BA76E0"/>
    <w:rsid w:val="00BB0257"/>
    <w:rsid w:val="00BB1157"/>
    <w:rsid w:val="00BB13F5"/>
    <w:rsid w:val="00BB1A3D"/>
    <w:rsid w:val="00BB22AB"/>
    <w:rsid w:val="00BB2A25"/>
    <w:rsid w:val="00BB51E9"/>
    <w:rsid w:val="00BB59EF"/>
    <w:rsid w:val="00BB6662"/>
    <w:rsid w:val="00BC0FDC"/>
    <w:rsid w:val="00BC3053"/>
    <w:rsid w:val="00BC49CF"/>
    <w:rsid w:val="00BC4D2E"/>
    <w:rsid w:val="00BC5177"/>
    <w:rsid w:val="00BC5A56"/>
    <w:rsid w:val="00BC6124"/>
    <w:rsid w:val="00BC630C"/>
    <w:rsid w:val="00BD0B88"/>
    <w:rsid w:val="00BD149B"/>
    <w:rsid w:val="00BD41E2"/>
    <w:rsid w:val="00BD47B1"/>
    <w:rsid w:val="00BD48AC"/>
    <w:rsid w:val="00BD5498"/>
    <w:rsid w:val="00BD573D"/>
    <w:rsid w:val="00BD59E3"/>
    <w:rsid w:val="00BD5B67"/>
    <w:rsid w:val="00BD5F1A"/>
    <w:rsid w:val="00BD636D"/>
    <w:rsid w:val="00BD705D"/>
    <w:rsid w:val="00BD7103"/>
    <w:rsid w:val="00BD7324"/>
    <w:rsid w:val="00BE056C"/>
    <w:rsid w:val="00BE1234"/>
    <w:rsid w:val="00BE2FA6"/>
    <w:rsid w:val="00BE333F"/>
    <w:rsid w:val="00BE3382"/>
    <w:rsid w:val="00BE3A7A"/>
    <w:rsid w:val="00BE7406"/>
    <w:rsid w:val="00BE7603"/>
    <w:rsid w:val="00BE7D1C"/>
    <w:rsid w:val="00BF16C1"/>
    <w:rsid w:val="00BF1A06"/>
    <w:rsid w:val="00BF3279"/>
    <w:rsid w:val="00BF3A07"/>
    <w:rsid w:val="00BF3FBB"/>
    <w:rsid w:val="00BF490F"/>
    <w:rsid w:val="00BF65CA"/>
    <w:rsid w:val="00BF74C7"/>
    <w:rsid w:val="00C015F1"/>
    <w:rsid w:val="00C0177B"/>
    <w:rsid w:val="00C01F33"/>
    <w:rsid w:val="00C02CC6"/>
    <w:rsid w:val="00C03CA0"/>
    <w:rsid w:val="00C040F7"/>
    <w:rsid w:val="00C044AB"/>
    <w:rsid w:val="00C04C61"/>
    <w:rsid w:val="00C05706"/>
    <w:rsid w:val="00C05D1D"/>
    <w:rsid w:val="00C07377"/>
    <w:rsid w:val="00C07A7B"/>
    <w:rsid w:val="00C10478"/>
    <w:rsid w:val="00C10E41"/>
    <w:rsid w:val="00C117FF"/>
    <w:rsid w:val="00C11EFF"/>
    <w:rsid w:val="00C12107"/>
    <w:rsid w:val="00C12F9E"/>
    <w:rsid w:val="00C14D4B"/>
    <w:rsid w:val="00C154BB"/>
    <w:rsid w:val="00C17C25"/>
    <w:rsid w:val="00C24E89"/>
    <w:rsid w:val="00C279B5"/>
    <w:rsid w:val="00C27C45"/>
    <w:rsid w:val="00C3111F"/>
    <w:rsid w:val="00C32659"/>
    <w:rsid w:val="00C32FD2"/>
    <w:rsid w:val="00C332D3"/>
    <w:rsid w:val="00C338EA"/>
    <w:rsid w:val="00C3719D"/>
    <w:rsid w:val="00C37C74"/>
    <w:rsid w:val="00C37CB2"/>
    <w:rsid w:val="00C417F7"/>
    <w:rsid w:val="00C42768"/>
    <w:rsid w:val="00C42E94"/>
    <w:rsid w:val="00C456A3"/>
    <w:rsid w:val="00C45D70"/>
    <w:rsid w:val="00C473A5"/>
    <w:rsid w:val="00C47D9E"/>
    <w:rsid w:val="00C50854"/>
    <w:rsid w:val="00C50B25"/>
    <w:rsid w:val="00C54995"/>
    <w:rsid w:val="00C54D41"/>
    <w:rsid w:val="00C566EB"/>
    <w:rsid w:val="00C60783"/>
    <w:rsid w:val="00C6099A"/>
    <w:rsid w:val="00C64672"/>
    <w:rsid w:val="00C652B0"/>
    <w:rsid w:val="00C70697"/>
    <w:rsid w:val="00C70CC1"/>
    <w:rsid w:val="00C711D4"/>
    <w:rsid w:val="00C71E7A"/>
    <w:rsid w:val="00C72093"/>
    <w:rsid w:val="00C72EF4"/>
    <w:rsid w:val="00C744FE"/>
    <w:rsid w:val="00C75D2F"/>
    <w:rsid w:val="00C767BE"/>
    <w:rsid w:val="00C76E3C"/>
    <w:rsid w:val="00C813B3"/>
    <w:rsid w:val="00C81568"/>
    <w:rsid w:val="00C82BBF"/>
    <w:rsid w:val="00C8473C"/>
    <w:rsid w:val="00C86299"/>
    <w:rsid w:val="00C86E9C"/>
    <w:rsid w:val="00C8784D"/>
    <w:rsid w:val="00C879F8"/>
    <w:rsid w:val="00C9027A"/>
    <w:rsid w:val="00C9068E"/>
    <w:rsid w:val="00C93814"/>
    <w:rsid w:val="00C93C4B"/>
    <w:rsid w:val="00C944AB"/>
    <w:rsid w:val="00C95B40"/>
    <w:rsid w:val="00C9628B"/>
    <w:rsid w:val="00CA1DA5"/>
    <w:rsid w:val="00CA1ED8"/>
    <w:rsid w:val="00CA3E73"/>
    <w:rsid w:val="00CA45DA"/>
    <w:rsid w:val="00CA48DF"/>
    <w:rsid w:val="00CA6CC3"/>
    <w:rsid w:val="00CA71F9"/>
    <w:rsid w:val="00CB1F63"/>
    <w:rsid w:val="00CB43F2"/>
    <w:rsid w:val="00CB462F"/>
    <w:rsid w:val="00CB7170"/>
    <w:rsid w:val="00CC0117"/>
    <w:rsid w:val="00CC040E"/>
    <w:rsid w:val="00CC111F"/>
    <w:rsid w:val="00CC2011"/>
    <w:rsid w:val="00CC2D2B"/>
    <w:rsid w:val="00CC3EA0"/>
    <w:rsid w:val="00CC3F47"/>
    <w:rsid w:val="00CC5C7C"/>
    <w:rsid w:val="00CC7B45"/>
    <w:rsid w:val="00CC7E5C"/>
    <w:rsid w:val="00CD0782"/>
    <w:rsid w:val="00CD0C67"/>
    <w:rsid w:val="00CD1188"/>
    <w:rsid w:val="00CD12C1"/>
    <w:rsid w:val="00CD2ED1"/>
    <w:rsid w:val="00CD337B"/>
    <w:rsid w:val="00CD4C85"/>
    <w:rsid w:val="00CD4CD0"/>
    <w:rsid w:val="00CD687B"/>
    <w:rsid w:val="00CD6E83"/>
    <w:rsid w:val="00CD7A81"/>
    <w:rsid w:val="00CE0424"/>
    <w:rsid w:val="00CE2D6A"/>
    <w:rsid w:val="00CE52CE"/>
    <w:rsid w:val="00CE6AEC"/>
    <w:rsid w:val="00CE7561"/>
    <w:rsid w:val="00CF1354"/>
    <w:rsid w:val="00CF2593"/>
    <w:rsid w:val="00CF3B1F"/>
    <w:rsid w:val="00CF3BF6"/>
    <w:rsid w:val="00CF625B"/>
    <w:rsid w:val="00CF687E"/>
    <w:rsid w:val="00D008C7"/>
    <w:rsid w:val="00D00C5A"/>
    <w:rsid w:val="00D01967"/>
    <w:rsid w:val="00D02CF8"/>
    <w:rsid w:val="00D0349B"/>
    <w:rsid w:val="00D03585"/>
    <w:rsid w:val="00D03AFF"/>
    <w:rsid w:val="00D03E2A"/>
    <w:rsid w:val="00D10249"/>
    <w:rsid w:val="00D115C3"/>
    <w:rsid w:val="00D11897"/>
    <w:rsid w:val="00D123F3"/>
    <w:rsid w:val="00D13064"/>
    <w:rsid w:val="00D13135"/>
    <w:rsid w:val="00D13E4E"/>
    <w:rsid w:val="00D1743E"/>
    <w:rsid w:val="00D175BA"/>
    <w:rsid w:val="00D239A7"/>
    <w:rsid w:val="00D23F47"/>
    <w:rsid w:val="00D2659F"/>
    <w:rsid w:val="00D3001D"/>
    <w:rsid w:val="00D30032"/>
    <w:rsid w:val="00D30048"/>
    <w:rsid w:val="00D36E71"/>
    <w:rsid w:val="00D37177"/>
    <w:rsid w:val="00D37D87"/>
    <w:rsid w:val="00D40233"/>
    <w:rsid w:val="00D40B33"/>
    <w:rsid w:val="00D42224"/>
    <w:rsid w:val="00D4318F"/>
    <w:rsid w:val="00D438BF"/>
    <w:rsid w:val="00D440F8"/>
    <w:rsid w:val="00D44A4A"/>
    <w:rsid w:val="00D4608F"/>
    <w:rsid w:val="00D511FF"/>
    <w:rsid w:val="00D519ED"/>
    <w:rsid w:val="00D51D69"/>
    <w:rsid w:val="00D53E19"/>
    <w:rsid w:val="00D546FF"/>
    <w:rsid w:val="00D54B4A"/>
    <w:rsid w:val="00D54EC0"/>
    <w:rsid w:val="00D55AD5"/>
    <w:rsid w:val="00D5759A"/>
    <w:rsid w:val="00D576CA"/>
    <w:rsid w:val="00D57A87"/>
    <w:rsid w:val="00D6015A"/>
    <w:rsid w:val="00D615B6"/>
    <w:rsid w:val="00D6179A"/>
    <w:rsid w:val="00D61AF5"/>
    <w:rsid w:val="00D63901"/>
    <w:rsid w:val="00D652B5"/>
    <w:rsid w:val="00D66155"/>
    <w:rsid w:val="00D66A7D"/>
    <w:rsid w:val="00D66BC1"/>
    <w:rsid w:val="00D67B79"/>
    <w:rsid w:val="00D708B0"/>
    <w:rsid w:val="00D713B3"/>
    <w:rsid w:val="00D7352E"/>
    <w:rsid w:val="00D736DA"/>
    <w:rsid w:val="00D765BC"/>
    <w:rsid w:val="00D77B1D"/>
    <w:rsid w:val="00D77FE9"/>
    <w:rsid w:val="00D8021F"/>
    <w:rsid w:val="00D80383"/>
    <w:rsid w:val="00D80C34"/>
    <w:rsid w:val="00D823C6"/>
    <w:rsid w:val="00D8327F"/>
    <w:rsid w:val="00D860EB"/>
    <w:rsid w:val="00D86CA3"/>
    <w:rsid w:val="00D86DBA"/>
    <w:rsid w:val="00D871CE"/>
    <w:rsid w:val="00D9196D"/>
    <w:rsid w:val="00D92982"/>
    <w:rsid w:val="00D94F48"/>
    <w:rsid w:val="00D94F5F"/>
    <w:rsid w:val="00DA305E"/>
    <w:rsid w:val="00DA3E11"/>
    <w:rsid w:val="00DA4703"/>
    <w:rsid w:val="00DA5417"/>
    <w:rsid w:val="00DA56E8"/>
    <w:rsid w:val="00DA647C"/>
    <w:rsid w:val="00DA7351"/>
    <w:rsid w:val="00DB0A9F"/>
    <w:rsid w:val="00DB0AA6"/>
    <w:rsid w:val="00DB377D"/>
    <w:rsid w:val="00DB3B3C"/>
    <w:rsid w:val="00DB44DC"/>
    <w:rsid w:val="00DB4649"/>
    <w:rsid w:val="00DB615B"/>
    <w:rsid w:val="00DB6B90"/>
    <w:rsid w:val="00DB785B"/>
    <w:rsid w:val="00DC0D06"/>
    <w:rsid w:val="00DC29F8"/>
    <w:rsid w:val="00DC2D36"/>
    <w:rsid w:val="00DC3984"/>
    <w:rsid w:val="00DC3D91"/>
    <w:rsid w:val="00DC53EF"/>
    <w:rsid w:val="00DC6A40"/>
    <w:rsid w:val="00DD0EBC"/>
    <w:rsid w:val="00DD51C5"/>
    <w:rsid w:val="00DD689F"/>
    <w:rsid w:val="00DD718B"/>
    <w:rsid w:val="00DE4351"/>
    <w:rsid w:val="00DE5608"/>
    <w:rsid w:val="00DE58D0"/>
    <w:rsid w:val="00DE61E4"/>
    <w:rsid w:val="00DE654F"/>
    <w:rsid w:val="00DF0344"/>
    <w:rsid w:val="00DF0B20"/>
    <w:rsid w:val="00DF0B6E"/>
    <w:rsid w:val="00DF15E0"/>
    <w:rsid w:val="00DF2A6B"/>
    <w:rsid w:val="00DF352D"/>
    <w:rsid w:val="00DF37A0"/>
    <w:rsid w:val="00DF538F"/>
    <w:rsid w:val="00DF68B7"/>
    <w:rsid w:val="00E006B9"/>
    <w:rsid w:val="00E0106F"/>
    <w:rsid w:val="00E01899"/>
    <w:rsid w:val="00E021F1"/>
    <w:rsid w:val="00E03776"/>
    <w:rsid w:val="00E04A3F"/>
    <w:rsid w:val="00E0650F"/>
    <w:rsid w:val="00E067F1"/>
    <w:rsid w:val="00E110E7"/>
    <w:rsid w:val="00E11A6C"/>
    <w:rsid w:val="00E11B20"/>
    <w:rsid w:val="00E142E7"/>
    <w:rsid w:val="00E17FA2"/>
    <w:rsid w:val="00E22330"/>
    <w:rsid w:val="00E30087"/>
    <w:rsid w:val="00E30B5A"/>
    <w:rsid w:val="00E31216"/>
    <w:rsid w:val="00E3123D"/>
    <w:rsid w:val="00E31461"/>
    <w:rsid w:val="00E31D43"/>
    <w:rsid w:val="00E31DCE"/>
    <w:rsid w:val="00E32608"/>
    <w:rsid w:val="00E33B71"/>
    <w:rsid w:val="00E34188"/>
    <w:rsid w:val="00E34B6E"/>
    <w:rsid w:val="00E35559"/>
    <w:rsid w:val="00E36CA4"/>
    <w:rsid w:val="00E3723A"/>
    <w:rsid w:val="00E37860"/>
    <w:rsid w:val="00E40A18"/>
    <w:rsid w:val="00E424E5"/>
    <w:rsid w:val="00E43077"/>
    <w:rsid w:val="00E446F1"/>
    <w:rsid w:val="00E46826"/>
    <w:rsid w:val="00E46886"/>
    <w:rsid w:val="00E46D72"/>
    <w:rsid w:val="00E47330"/>
    <w:rsid w:val="00E47AEF"/>
    <w:rsid w:val="00E5109E"/>
    <w:rsid w:val="00E52201"/>
    <w:rsid w:val="00E5363F"/>
    <w:rsid w:val="00E53A2D"/>
    <w:rsid w:val="00E53B75"/>
    <w:rsid w:val="00E53F47"/>
    <w:rsid w:val="00E54E3B"/>
    <w:rsid w:val="00E57565"/>
    <w:rsid w:val="00E60307"/>
    <w:rsid w:val="00E63838"/>
    <w:rsid w:val="00E6413A"/>
    <w:rsid w:val="00E64434"/>
    <w:rsid w:val="00E64B07"/>
    <w:rsid w:val="00E67C51"/>
    <w:rsid w:val="00E70791"/>
    <w:rsid w:val="00E70896"/>
    <w:rsid w:val="00E72EFC"/>
    <w:rsid w:val="00E758EC"/>
    <w:rsid w:val="00E75CB2"/>
    <w:rsid w:val="00E75EB5"/>
    <w:rsid w:val="00E81600"/>
    <w:rsid w:val="00E8178C"/>
    <w:rsid w:val="00E8234C"/>
    <w:rsid w:val="00E82A1F"/>
    <w:rsid w:val="00E82D1B"/>
    <w:rsid w:val="00E83AA9"/>
    <w:rsid w:val="00E85928"/>
    <w:rsid w:val="00E86541"/>
    <w:rsid w:val="00E86549"/>
    <w:rsid w:val="00E87822"/>
    <w:rsid w:val="00E90395"/>
    <w:rsid w:val="00E90E49"/>
    <w:rsid w:val="00E917F9"/>
    <w:rsid w:val="00E9291C"/>
    <w:rsid w:val="00E93FFE"/>
    <w:rsid w:val="00E94F8A"/>
    <w:rsid w:val="00E96EB1"/>
    <w:rsid w:val="00EA2400"/>
    <w:rsid w:val="00EA5630"/>
    <w:rsid w:val="00EA7A41"/>
    <w:rsid w:val="00EB0291"/>
    <w:rsid w:val="00EB077B"/>
    <w:rsid w:val="00EB432D"/>
    <w:rsid w:val="00EB469D"/>
    <w:rsid w:val="00EB484F"/>
    <w:rsid w:val="00EB4EA2"/>
    <w:rsid w:val="00EB5477"/>
    <w:rsid w:val="00EB5D13"/>
    <w:rsid w:val="00EB6DCE"/>
    <w:rsid w:val="00EC24D5"/>
    <w:rsid w:val="00EC27C6"/>
    <w:rsid w:val="00EC3260"/>
    <w:rsid w:val="00EC4207"/>
    <w:rsid w:val="00EC53EC"/>
    <w:rsid w:val="00EC5653"/>
    <w:rsid w:val="00EC62E5"/>
    <w:rsid w:val="00EC6FFD"/>
    <w:rsid w:val="00EC71CE"/>
    <w:rsid w:val="00ED0504"/>
    <w:rsid w:val="00ED0DE5"/>
    <w:rsid w:val="00ED1006"/>
    <w:rsid w:val="00ED14CD"/>
    <w:rsid w:val="00ED1683"/>
    <w:rsid w:val="00ED353E"/>
    <w:rsid w:val="00ED38C6"/>
    <w:rsid w:val="00ED428F"/>
    <w:rsid w:val="00ED713B"/>
    <w:rsid w:val="00EE14F7"/>
    <w:rsid w:val="00EE5C1C"/>
    <w:rsid w:val="00EF0813"/>
    <w:rsid w:val="00EF097A"/>
    <w:rsid w:val="00EF18FE"/>
    <w:rsid w:val="00EF21E3"/>
    <w:rsid w:val="00EF2CF4"/>
    <w:rsid w:val="00EF3E23"/>
    <w:rsid w:val="00EF49E2"/>
    <w:rsid w:val="00EF5787"/>
    <w:rsid w:val="00EF580D"/>
    <w:rsid w:val="00EF60D0"/>
    <w:rsid w:val="00F0147E"/>
    <w:rsid w:val="00F0460A"/>
    <w:rsid w:val="00F0528D"/>
    <w:rsid w:val="00F06C67"/>
    <w:rsid w:val="00F06C7B"/>
    <w:rsid w:val="00F06DFD"/>
    <w:rsid w:val="00F071D1"/>
    <w:rsid w:val="00F07533"/>
    <w:rsid w:val="00F10629"/>
    <w:rsid w:val="00F106E5"/>
    <w:rsid w:val="00F12181"/>
    <w:rsid w:val="00F148A0"/>
    <w:rsid w:val="00F15DFB"/>
    <w:rsid w:val="00F15FA5"/>
    <w:rsid w:val="00F16A80"/>
    <w:rsid w:val="00F20362"/>
    <w:rsid w:val="00F209B7"/>
    <w:rsid w:val="00F21FF7"/>
    <w:rsid w:val="00F2376F"/>
    <w:rsid w:val="00F23A93"/>
    <w:rsid w:val="00F243D8"/>
    <w:rsid w:val="00F24642"/>
    <w:rsid w:val="00F25309"/>
    <w:rsid w:val="00F30828"/>
    <w:rsid w:val="00F313D6"/>
    <w:rsid w:val="00F32343"/>
    <w:rsid w:val="00F32E1E"/>
    <w:rsid w:val="00F359D5"/>
    <w:rsid w:val="00F36423"/>
    <w:rsid w:val="00F365ED"/>
    <w:rsid w:val="00F366BE"/>
    <w:rsid w:val="00F37255"/>
    <w:rsid w:val="00F40F0C"/>
    <w:rsid w:val="00F42353"/>
    <w:rsid w:val="00F4252F"/>
    <w:rsid w:val="00F42748"/>
    <w:rsid w:val="00F434C2"/>
    <w:rsid w:val="00F451FF"/>
    <w:rsid w:val="00F45400"/>
    <w:rsid w:val="00F4766C"/>
    <w:rsid w:val="00F5060E"/>
    <w:rsid w:val="00F507D1"/>
    <w:rsid w:val="00F519CE"/>
    <w:rsid w:val="00F51ADA"/>
    <w:rsid w:val="00F520E5"/>
    <w:rsid w:val="00F5336F"/>
    <w:rsid w:val="00F53488"/>
    <w:rsid w:val="00F53887"/>
    <w:rsid w:val="00F54A2A"/>
    <w:rsid w:val="00F55BED"/>
    <w:rsid w:val="00F56B90"/>
    <w:rsid w:val="00F60203"/>
    <w:rsid w:val="00F607C5"/>
    <w:rsid w:val="00F60DEA"/>
    <w:rsid w:val="00F6302A"/>
    <w:rsid w:val="00F63052"/>
    <w:rsid w:val="00F63950"/>
    <w:rsid w:val="00F63CA1"/>
    <w:rsid w:val="00F64C2B"/>
    <w:rsid w:val="00F651BE"/>
    <w:rsid w:val="00F66BB4"/>
    <w:rsid w:val="00F67F53"/>
    <w:rsid w:val="00F703BE"/>
    <w:rsid w:val="00F7155F"/>
    <w:rsid w:val="00F71B01"/>
    <w:rsid w:val="00F71F69"/>
    <w:rsid w:val="00F72A6A"/>
    <w:rsid w:val="00F72B72"/>
    <w:rsid w:val="00F736D2"/>
    <w:rsid w:val="00F744F8"/>
    <w:rsid w:val="00F74BB9"/>
    <w:rsid w:val="00F75582"/>
    <w:rsid w:val="00F76692"/>
    <w:rsid w:val="00F76EFA"/>
    <w:rsid w:val="00F804BE"/>
    <w:rsid w:val="00F80814"/>
    <w:rsid w:val="00F80956"/>
    <w:rsid w:val="00F817CE"/>
    <w:rsid w:val="00F82283"/>
    <w:rsid w:val="00F83EB2"/>
    <w:rsid w:val="00F83F38"/>
    <w:rsid w:val="00F84119"/>
    <w:rsid w:val="00F8456C"/>
    <w:rsid w:val="00F859D8"/>
    <w:rsid w:val="00F868F5"/>
    <w:rsid w:val="00F903A3"/>
    <w:rsid w:val="00F9056A"/>
    <w:rsid w:val="00F90F8D"/>
    <w:rsid w:val="00F9199A"/>
    <w:rsid w:val="00F92782"/>
    <w:rsid w:val="00F93AA9"/>
    <w:rsid w:val="00F96985"/>
    <w:rsid w:val="00F97838"/>
    <w:rsid w:val="00F97E18"/>
    <w:rsid w:val="00FA1A34"/>
    <w:rsid w:val="00FA2BB3"/>
    <w:rsid w:val="00FA2F49"/>
    <w:rsid w:val="00FA36B4"/>
    <w:rsid w:val="00FA44B3"/>
    <w:rsid w:val="00FA4722"/>
    <w:rsid w:val="00FA5E5F"/>
    <w:rsid w:val="00FA6B8E"/>
    <w:rsid w:val="00FA758B"/>
    <w:rsid w:val="00FB4C80"/>
    <w:rsid w:val="00FB55ED"/>
    <w:rsid w:val="00FB5D96"/>
    <w:rsid w:val="00FB6925"/>
    <w:rsid w:val="00FB6A6A"/>
    <w:rsid w:val="00FC0DF8"/>
    <w:rsid w:val="00FC1413"/>
    <w:rsid w:val="00FC2AE5"/>
    <w:rsid w:val="00FC3DD1"/>
    <w:rsid w:val="00FC7429"/>
    <w:rsid w:val="00FD07F6"/>
    <w:rsid w:val="00FD0CD5"/>
    <w:rsid w:val="00FD1EC8"/>
    <w:rsid w:val="00FD47ED"/>
    <w:rsid w:val="00FD74DB"/>
    <w:rsid w:val="00FD7660"/>
    <w:rsid w:val="00FE0655"/>
    <w:rsid w:val="00FE2365"/>
    <w:rsid w:val="00FE30F6"/>
    <w:rsid w:val="00FE37D7"/>
    <w:rsid w:val="00FE4C7B"/>
    <w:rsid w:val="00FE640F"/>
    <w:rsid w:val="00FE7336"/>
    <w:rsid w:val="00FE7396"/>
    <w:rsid w:val="00FE787C"/>
    <w:rsid w:val="00FF09A1"/>
    <w:rsid w:val="00FF3605"/>
    <w:rsid w:val="00FF45A5"/>
    <w:rsid w:val="00FF45DC"/>
    <w:rsid w:val="00FF53F7"/>
    <w:rsid w:val="00FF5C91"/>
    <w:rsid w:val="00FF7C0C"/>
    <w:rsid w:val="0999AA91"/>
    <w:rsid w:val="10ED18DB"/>
    <w:rsid w:val="1988561F"/>
    <w:rsid w:val="2F08173A"/>
    <w:rsid w:val="2F5861C9"/>
    <w:rsid w:val="31CA0CA2"/>
    <w:rsid w:val="3253289B"/>
    <w:rsid w:val="3F295DC4"/>
    <w:rsid w:val="40F0A48C"/>
    <w:rsid w:val="446979E9"/>
    <w:rsid w:val="454E2966"/>
    <w:rsid w:val="54F46459"/>
    <w:rsid w:val="55B09EB0"/>
    <w:rsid w:val="584B26C1"/>
    <w:rsid w:val="5D3708EB"/>
    <w:rsid w:val="669D31F3"/>
    <w:rsid w:val="6EA2B88C"/>
    <w:rsid w:val="71D97AA2"/>
    <w:rsid w:val="726F7DD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13333"/>
  <w15:docId w15:val="{5EB7D622-5EAB-4C73-9D79-6A4FE8ADE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uiPriority="99"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101"/>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
    <w:qFormat/>
    <w:pPr>
      <w:keepNext/>
      <w:keepLines/>
      <w:widowControl w:val="0"/>
      <w:pBdr>
        <w:top w:val="single" w:sz="12" w:space="3" w:color="auto"/>
      </w:pBdr>
      <w:spacing w:before="240" w:after="180" w:line="276" w:lineRule="auto"/>
      <w:ind w:left="1134" w:hanging="1134"/>
      <w:jc w:val="both"/>
      <w:outlineLvl w:val="0"/>
    </w:pPr>
    <w:rPr>
      <w:rFonts w:ascii="Arial" w:hAnsi="Arial" w:cstheme="minorBidi"/>
      <w:kern w:val="2"/>
      <w:sz w:val="36"/>
      <w:szCs w:val="2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bCs/>
    </w:rPr>
  </w:style>
  <w:style w:type="paragraph" w:styleId="Heading7">
    <w:name w:val="heading 7"/>
    <w:basedOn w:val="H6"/>
    <w:next w:val="Normal"/>
    <w:link w:val="Heading7Char"/>
    <w:qFormat/>
    <w:pPr>
      <w:outlineLvl w:val="6"/>
    </w:pPr>
    <w:rPr>
      <w:b/>
      <w:bCs/>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4271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7101"/>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76" w:lineRule="auto"/>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jc w:val="both"/>
    </w:pPr>
    <w:rPr>
      <w:rFonts w:ascii="Times New Roman" w:hAnsi="Times New Roman" w:cstheme="minorBidi"/>
      <w:kern w:val="2"/>
      <w:sz w:val="22"/>
      <w:szCs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rFonts w:eastAsia="SimSun"/>
      <w:i/>
      <w:iCs/>
      <w:color w:val="44546A" w:themeColor="text2"/>
      <w:sz w:val="18"/>
      <w:szCs w:val="18"/>
    </w:rPr>
  </w:style>
  <w:style w:type="paragraph" w:styleId="DocumentMap">
    <w:name w:val="Document Map"/>
    <w:basedOn w:val="Normal"/>
    <w:link w:val="DocumentMapChar"/>
    <w:qFormat/>
    <w:pPr>
      <w:shd w:val="clear" w:color="auto" w:fill="000080"/>
      <w:spacing w:line="276" w:lineRule="auto"/>
    </w:pPr>
    <w:rPr>
      <w:rFonts w:ascii="Tahoma" w:eastAsia="Malgun Gothic" w:hAnsi="Tahoma" w:cs="Tahoma"/>
    </w:rPr>
  </w:style>
  <w:style w:type="paragraph" w:styleId="CommentText">
    <w:name w:val="annotation text"/>
    <w:basedOn w:val="Normal"/>
    <w:link w:val="CommentTextChar"/>
    <w:uiPriority w:val="99"/>
    <w:qFormat/>
    <w:pPr>
      <w:spacing w:line="276" w:lineRule="auto"/>
    </w:pPr>
    <w:rPr>
      <w:rFonts w:eastAsia="Malgun Gothic"/>
    </w:rPr>
  </w:style>
  <w:style w:type="paragraph" w:styleId="BodyText">
    <w:name w:val="Body Text"/>
    <w:basedOn w:val="Normal"/>
    <w:link w:val="BodyTextChar"/>
    <w:qFormat/>
    <w:pPr>
      <w:spacing w:before="40" w:after="120" w:line="276" w:lineRule="auto"/>
    </w:pPr>
    <w:rPr>
      <w:rFonts w:ascii="Arial" w:eastAsia="MS Mincho" w:hAnsi="Arial"/>
      <w:lang w:eastAsia="en-GB"/>
    </w:rPr>
  </w:style>
  <w:style w:type="paragraph" w:styleId="ListNumber3">
    <w:name w:val="List Number 3"/>
    <w:basedOn w:val="ListNumber2"/>
    <w:qFormat/>
    <w:pPr>
      <w:numPr>
        <w:numId w:val="1"/>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line="276" w:lineRule="auto"/>
    </w:pPr>
    <w:rPr>
      <w:rFonts w:ascii="Tahoma" w:eastAsia="Malgun Gothic"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spacing w:after="200" w:line="276" w:lineRule="auto"/>
      <w:jc w:val="both"/>
    </w:pPr>
    <w:rPr>
      <w:rFonts w:ascii="Arial" w:hAnsi="Arial" w:cstheme="minorBidi"/>
      <w:b/>
      <w:kern w:val="2"/>
      <w:sz w:val="18"/>
      <w:szCs w:val="22"/>
      <w:lang w:val="en-GB" w:eastAsia="en-US"/>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line="276" w:lineRule="auto"/>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76" w:lineRule="auto"/>
    </w:pPr>
    <w:rPr>
      <w:rFonts w:eastAsia="Times New Roman"/>
      <w:lang w:eastAsia="ko-KR"/>
    </w:rPr>
  </w:style>
  <w:style w:type="paragraph" w:styleId="Index1">
    <w:name w:val="index 1"/>
    <w:basedOn w:val="Normal"/>
    <w:next w:val="Normal"/>
    <w:qFormat/>
    <w:pPr>
      <w:keepLines/>
      <w:spacing w:after="0" w:line="276" w:lineRule="auto"/>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ind w:left="1701" w:hanging="1701"/>
      <w:outlineLvl w:val="0"/>
    </w:pPr>
    <w:rPr>
      <w:rFonts w:eastAsia="Times New Roman"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line="276" w:lineRule="auto"/>
    </w:pPr>
    <w:rPr>
      <w:rFonts w:eastAsia="Malgun Gothic"/>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spacing w:line="276" w:lineRule="auto"/>
      <w:ind w:left="1135" w:hanging="851"/>
    </w:pPr>
    <w:rPr>
      <w:rFonts w:eastAsia="Malgun Gothic"/>
    </w:rPr>
  </w:style>
  <w:style w:type="paragraph" w:customStyle="1" w:styleId="Reference">
    <w:name w:val="Reference"/>
    <w:basedOn w:val="BodyText"/>
    <w:uiPriority w:val="99"/>
    <w:qFormat/>
    <w:pPr>
      <w:numPr>
        <w:numId w:val="2"/>
      </w:numPr>
    </w:pPr>
  </w:style>
  <w:style w:type="character" w:customStyle="1" w:styleId="Heading1Char">
    <w:name w:val="Heading 1 Char"/>
    <w:basedOn w:val="DefaultParagraphFont"/>
    <w:link w:val="Heading1"/>
    <w:qFormat/>
    <w:rPr>
      <w:rFonts w:ascii="Arial" w:hAnsi="Arial" w:cstheme="minorBidi"/>
      <w:kern w:val="2"/>
      <w:sz w:val="36"/>
      <w:szCs w:val="22"/>
      <w:lang w:val="en-GB" w:eastAsia="en-US"/>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Normal"/>
    <w:link w:val="ProposalChar"/>
    <w:qFormat/>
    <w:pPr>
      <w:tabs>
        <w:tab w:val="left" w:pos="1701"/>
      </w:tabs>
      <w:overflowPunct w:val="0"/>
      <w:autoSpaceDE w:val="0"/>
      <w:autoSpaceDN w:val="0"/>
      <w:adjustRightInd w:val="0"/>
      <w:spacing w:after="120"/>
      <w:textAlignment w:val="baseline"/>
    </w:pPr>
    <w:rPr>
      <w:rFonts w:ascii="Arial" w:eastAsia="SimSun" w:hAnsi="Arial"/>
      <w:b/>
      <w:bCs/>
    </w:rPr>
  </w:style>
  <w:style w:type="character" w:customStyle="1" w:styleId="BodyTextChar">
    <w:name w:val="Body Text Char"/>
    <w:link w:val="BodyText"/>
    <w:qFormat/>
    <w:rPr>
      <w:rFonts w:ascii="Arial" w:eastAsia="MS Mincho" w:hAnsi="Arial" w:cstheme="minorBidi"/>
      <w:kern w:val="2"/>
      <w:sz w:val="21"/>
      <w:szCs w:val="24"/>
      <w:lang w:eastAsia="en-GB"/>
    </w:rPr>
  </w:style>
  <w:style w:type="paragraph" w:customStyle="1" w:styleId="B5">
    <w:name w:val="B5"/>
    <w:basedOn w:val="List5"/>
    <w:link w:val="B5Char"/>
    <w:qFormat/>
  </w:style>
  <w:style w:type="paragraph" w:customStyle="1" w:styleId="EX">
    <w:name w:val="EX"/>
    <w:basedOn w:val="Normal"/>
    <w:qFormat/>
    <w:pPr>
      <w:keepLines/>
      <w:spacing w:line="276" w:lineRule="auto"/>
      <w:ind w:left="1702" w:hanging="1418"/>
    </w:pPr>
    <w:rPr>
      <w:rFonts w:eastAsia="Malgun Gothic"/>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line="276" w:lineRule="auto"/>
    </w:pPr>
    <w:rPr>
      <w:rFonts w:ascii="Arial" w:eastAsia="Malgun Gothic"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line="276" w:lineRule="auto"/>
      <w:jc w:val="center"/>
    </w:pPr>
    <w:rPr>
      <w:rFonts w:ascii="Arial" w:eastAsia="Malgun Gothic" w:hAnsi="Arial"/>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cstheme="minorBidi"/>
      <w:kern w:val="2"/>
      <w:sz w:val="40"/>
      <w:szCs w:val="22"/>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cstheme="minorBidi"/>
      <w:i/>
      <w:kern w:val="2"/>
      <w:sz w:val="21"/>
      <w:szCs w:val="22"/>
      <w:lang w:val="en-GB" w:eastAsia="en-US"/>
    </w:rPr>
  </w:style>
  <w:style w:type="paragraph" w:customStyle="1" w:styleId="ZD">
    <w:name w:val="ZD"/>
    <w:qFormat/>
    <w:pPr>
      <w:framePr w:wrap="notBeside" w:vAnchor="page" w:hAnchor="margin" w:y="15764"/>
      <w:widowControl w:val="0"/>
      <w:spacing w:after="200" w:line="276" w:lineRule="auto"/>
      <w:jc w:val="both"/>
    </w:pPr>
    <w:rPr>
      <w:rFonts w:ascii="Arial" w:hAnsi="Arial" w:cstheme="minorBidi"/>
      <w:kern w:val="2"/>
      <w:sz w:val="32"/>
      <w:szCs w:val="22"/>
      <w:lang w:val="en-GB" w:eastAsia="en-US"/>
    </w:rPr>
  </w:style>
  <w:style w:type="paragraph" w:customStyle="1" w:styleId="ZG">
    <w:name w:val="ZG"/>
    <w:qFormat/>
    <w:pPr>
      <w:framePr w:wrap="notBeside" w:vAnchor="page" w:hAnchor="margin" w:xAlign="right" w:y="6805"/>
      <w:widowControl w:val="0"/>
      <w:spacing w:after="200" w:line="276" w:lineRule="auto"/>
      <w:jc w:val="right"/>
    </w:pPr>
    <w:rPr>
      <w:rFonts w:ascii="Arial" w:hAnsi="Arial" w:cstheme="minorBidi"/>
      <w:kern w:val="2"/>
      <w:sz w:val="21"/>
      <w:szCs w:val="22"/>
      <w:lang w:val="en-GB" w:eastAsia="en-US"/>
    </w:rPr>
  </w:style>
  <w:style w:type="character" w:customStyle="1" w:styleId="ZGSM">
    <w:name w:val="ZGSM"/>
    <w:qFormat/>
  </w:style>
  <w:style w:type="paragraph" w:customStyle="1" w:styleId="ZH">
    <w:name w:val="ZH"/>
    <w:qFormat/>
    <w:pPr>
      <w:framePr w:wrap="notBeside" w:vAnchor="page" w:hAnchor="margin" w:xAlign="center" w:y="6805"/>
      <w:widowControl w:val="0"/>
      <w:spacing w:after="200" w:line="276" w:lineRule="auto"/>
      <w:jc w:val="both"/>
    </w:pPr>
    <w:rPr>
      <w:rFonts w:ascii="Arial" w:hAnsi="Arial" w:cstheme="minorBidi"/>
      <w:kern w:val="2"/>
      <w:sz w:val="21"/>
      <w:szCs w:val="22"/>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cstheme="minorBidi"/>
      <w:b/>
      <w:kern w:val="2"/>
      <w:sz w:val="34"/>
      <w:szCs w:val="22"/>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cstheme="minorBidi"/>
      <w:kern w:val="2"/>
      <w:sz w:val="21"/>
      <w:szCs w:val="22"/>
      <w:lang w:val="en-GB" w:eastAsia="en-US"/>
    </w:rPr>
  </w:style>
  <w:style w:type="paragraph" w:customStyle="1" w:styleId="ZV">
    <w:name w:val="ZV"/>
    <w:basedOn w:val="ZU"/>
    <w:qFormat/>
    <w:pPr>
      <w:framePr w:wrap="notBeside" w:y="16161"/>
    </w:pPr>
  </w:style>
  <w:style w:type="paragraph" w:customStyle="1" w:styleId="FP">
    <w:name w:val="FP"/>
    <w:basedOn w:val="Normal"/>
    <w:qFormat/>
    <w:pPr>
      <w:spacing w:after="0" w:line="276" w:lineRule="auto"/>
    </w:pPr>
    <w:rPr>
      <w:rFonts w:eastAsia="Malgun Gothic"/>
    </w:rPr>
  </w:style>
  <w:style w:type="paragraph" w:customStyle="1" w:styleId="Observation">
    <w:name w:val="Observation"/>
    <w:basedOn w:val="Normal"/>
    <w:link w:val="ObservationChar"/>
    <w:qFormat/>
    <w:pPr>
      <w:numPr>
        <w:numId w:val="3"/>
      </w:numPr>
      <w:tabs>
        <w:tab w:val="left" w:pos="1701"/>
      </w:tabs>
      <w:overflowPunct w:val="0"/>
      <w:autoSpaceDE w:val="0"/>
      <w:autoSpaceDN w:val="0"/>
      <w:adjustRightInd w:val="0"/>
      <w:spacing w:after="120" w:line="276" w:lineRule="auto"/>
      <w:textAlignment w:val="baseline"/>
    </w:pPr>
    <w:rPr>
      <w:rFonts w:ascii="Arial" w:eastAsia="SimSun" w:hAnsi="Arial"/>
      <w:b/>
      <w:bCs/>
      <w:lang w:eastAsia="ja-JP"/>
    </w:rPr>
  </w:style>
  <w:style w:type="paragraph" w:styleId="ListParagraph">
    <w:name w:val="List Paragraph"/>
    <w:basedOn w:val="Normal"/>
    <w:link w:val="ListParagraphChar"/>
    <w:uiPriority w:val="34"/>
    <w:qFormat/>
    <w:pPr>
      <w:spacing w:after="0" w:line="276" w:lineRule="auto"/>
      <w:ind w:firstLine="420"/>
    </w:pPr>
    <w:rPr>
      <w:rFonts w:ascii="Calibri" w:eastAsia="Malgun Gothic" w:hAnsi="Calibri" w:cs="Calibri"/>
    </w:rPr>
  </w:style>
  <w:style w:type="character" w:customStyle="1" w:styleId="B1Char1">
    <w:name w:val="B1 Char1"/>
    <w:qFormat/>
    <w:rPr>
      <w:rFonts w:ascii="Times New Roman" w:hAnsi="Times New Roman"/>
      <w:lang w:val="en-GB" w:eastAsia="en-US"/>
    </w:rPr>
  </w:style>
  <w:style w:type="character" w:customStyle="1" w:styleId="B2Char">
    <w:name w:val="B2 Char"/>
    <w:link w:val="B2"/>
    <w:qFormat/>
    <w:rPr>
      <w:rFonts w:ascii="Times New Roman" w:eastAsia="Malgun Gothic" w:hAnsi="Times New Roman" w:cstheme="minorBidi"/>
      <w:kern w:val="2"/>
      <w:sz w:val="21"/>
      <w:szCs w:val="22"/>
    </w:rPr>
  </w:style>
  <w:style w:type="character" w:customStyle="1" w:styleId="B3Char2">
    <w:name w:val="B3 Char2"/>
    <w:link w:val="B3"/>
    <w:qFormat/>
    <w:rPr>
      <w:rFonts w:ascii="Times New Roman" w:eastAsia="Malgun Gothic" w:hAnsi="Times New Roman" w:cstheme="minorBidi"/>
      <w:kern w:val="2"/>
      <w:sz w:val="21"/>
      <w:szCs w:val="22"/>
    </w:rPr>
  </w:style>
  <w:style w:type="character" w:customStyle="1" w:styleId="B4Char">
    <w:name w:val="B4 Char"/>
    <w:link w:val="B4"/>
    <w:qFormat/>
    <w:rPr>
      <w:rFonts w:ascii="Times New Roman" w:eastAsia="Malgun Gothic" w:hAnsi="Times New Roman" w:cstheme="minorBidi"/>
      <w:kern w:val="2"/>
      <w:sz w:val="21"/>
      <w:szCs w:val="22"/>
    </w:rPr>
  </w:style>
  <w:style w:type="character" w:customStyle="1" w:styleId="B5Char">
    <w:name w:val="B5 Char"/>
    <w:link w:val="B5"/>
    <w:qFormat/>
    <w:rPr>
      <w:rFonts w:ascii="Times New Roman" w:eastAsia="Malgun Gothic" w:hAnsi="Times New Roman" w:cstheme="minorBidi"/>
      <w:kern w:val="2"/>
      <w:sz w:val="21"/>
      <w:szCs w:val="22"/>
    </w:rPr>
  </w:style>
  <w:style w:type="paragraph" w:customStyle="1" w:styleId="B6">
    <w:name w:val="B6"/>
    <w:basedOn w:val="B5"/>
    <w:link w:val="B6Char"/>
    <w:qFormat/>
    <w:pPr>
      <w:ind w:left="1985"/>
    </w:pPr>
  </w:style>
  <w:style w:type="character" w:customStyle="1" w:styleId="B6Char">
    <w:name w:val="B6 Char"/>
    <w:link w:val="B6"/>
    <w:qFormat/>
    <w:rPr>
      <w:rFonts w:ascii="Times New Roman" w:eastAsia="Malgun Gothic" w:hAnsi="Times New Roman" w:cstheme="minorBidi"/>
      <w:kern w:val="2"/>
      <w:sz w:val="21"/>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eastAsia="Malgun Gothic" w:hAnsi="Times New Roman" w:cstheme="minorBidi"/>
      <w:kern w:val="2"/>
      <w:sz w:val="21"/>
      <w:szCs w:val="22"/>
      <w:lang w:eastAsia="ja-JP"/>
    </w:rPr>
  </w:style>
  <w:style w:type="paragraph" w:customStyle="1" w:styleId="B8">
    <w:name w:val="B8"/>
    <w:basedOn w:val="B7"/>
    <w:qFormat/>
    <w:pPr>
      <w:ind w:left="2552"/>
    </w:pPr>
  </w:style>
  <w:style w:type="character" w:customStyle="1" w:styleId="BalloonTextChar">
    <w:name w:val="Balloon Text Char"/>
    <w:basedOn w:val="DefaultParagraphFont"/>
    <w:link w:val="BalloonText"/>
    <w:qFormat/>
    <w:rPr>
      <w:rFonts w:ascii="Tahoma" w:eastAsia="Malgun Gothic" w:hAnsi="Tahoma" w:cs="Tahoma"/>
      <w:kern w:val="2"/>
      <w:sz w:val="16"/>
      <w:szCs w:val="16"/>
    </w:rPr>
  </w:style>
  <w:style w:type="character" w:customStyle="1" w:styleId="CommentTextChar">
    <w:name w:val="Comment Text Char"/>
    <w:link w:val="CommentText"/>
    <w:uiPriority w:val="99"/>
    <w:qFormat/>
    <w:rPr>
      <w:rFonts w:ascii="Times New Roman" w:eastAsia="Malgun Gothic" w:hAnsi="Times New Roman" w:cstheme="minorBidi"/>
      <w:kern w:val="2"/>
      <w:sz w:val="21"/>
      <w:szCs w:val="22"/>
    </w:rPr>
  </w:style>
  <w:style w:type="character" w:customStyle="1" w:styleId="CommentSubjectChar">
    <w:name w:val="Comment Subject Char"/>
    <w:basedOn w:val="CommentTextChar"/>
    <w:link w:val="CommentSubject"/>
    <w:qFormat/>
    <w:rPr>
      <w:rFonts w:ascii="Times New Roman" w:eastAsia="Malgun Gothic" w:hAnsi="Times New Roman" w:cstheme="minorBidi"/>
      <w:b/>
      <w:bCs/>
      <w:kern w:val="2"/>
      <w:sz w:val="21"/>
      <w:szCs w:val="22"/>
    </w:rPr>
  </w:style>
  <w:style w:type="paragraph" w:customStyle="1" w:styleId="CRCoverPage">
    <w:name w:val="CR Cover Page"/>
    <w:link w:val="CRCoverPageZchn"/>
    <w:qFormat/>
    <w:pPr>
      <w:widowControl w:val="0"/>
      <w:spacing w:after="120" w:line="276" w:lineRule="auto"/>
      <w:jc w:val="both"/>
    </w:pPr>
    <w:rPr>
      <w:rFonts w:ascii="Arial" w:hAnsi="Arial" w:cstheme="minorBidi"/>
      <w:kern w:val="2"/>
      <w:sz w:val="21"/>
      <w:szCs w:val="22"/>
      <w:lang w:val="en-GB" w:eastAsia="en-US"/>
    </w:rPr>
  </w:style>
  <w:style w:type="character" w:customStyle="1" w:styleId="CRCoverPageZchn">
    <w:name w:val="CR Cover Page Zchn"/>
    <w:link w:val="CRCoverPage"/>
    <w:qFormat/>
    <w:rPr>
      <w:rFonts w:ascii="Arial" w:hAnsi="Arial" w:cstheme="minorBidi"/>
      <w:kern w:val="2"/>
      <w:sz w:val="21"/>
      <w:szCs w:val="22"/>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lang w:eastAsia="en-GB"/>
    </w:rPr>
  </w:style>
  <w:style w:type="character" w:customStyle="1" w:styleId="Doc-text2Char">
    <w:name w:val="Doc-text2 Char"/>
    <w:link w:val="Doc-text2"/>
    <w:qFormat/>
    <w:locked/>
    <w:rPr>
      <w:rFonts w:ascii="Arial" w:eastAsia="MS Mincho" w:hAnsi="Arial" w:cstheme="minorBidi"/>
      <w:kern w:val="2"/>
      <w:sz w:val="21"/>
      <w:szCs w:val="24"/>
      <w:lang w:eastAsia="en-GB"/>
    </w:rPr>
  </w:style>
  <w:style w:type="character" w:customStyle="1" w:styleId="DocumentMapChar">
    <w:name w:val="Document Map Char"/>
    <w:basedOn w:val="DefaultParagraphFont"/>
    <w:link w:val="DocumentMap"/>
    <w:qFormat/>
    <w:rPr>
      <w:rFonts w:ascii="Tahoma" w:eastAsia="Malgun Gothic" w:hAnsi="Tahoma" w:cs="Tahoma"/>
      <w:kern w:val="2"/>
      <w:sz w:val="21"/>
      <w:szCs w:val="22"/>
      <w:shd w:val="clear" w:color="auto" w:fill="000080"/>
    </w:rPr>
  </w:style>
  <w:style w:type="character" w:customStyle="1" w:styleId="NOChar">
    <w:name w:val="NO Char"/>
    <w:link w:val="NO"/>
    <w:qFormat/>
    <w:rPr>
      <w:rFonts w:ascii="Times New Roman" w:eastAsia="Malgun Gothic" w:hAnsi="Times New Roman" w:cstheme="minorBidi"/>
      <w:kern w:val="2"/>
      <w:sz w:val="21"/>
      <w:szCs w:val="22"/>
    </w:rPr>
  </w:style>
  <w:style w:type="character" w:customStyle="1" w:styleId="EditorsNoteChar">
    <w:name w:val="Editor's Note Char"/>
    <w:link w:val="EditorsNote"/>
    <w:qFormat/>
    <w:rPr>
      <w:rFonts w:ascii="Times New Roman" w:eastAsia="Malgun Gothic" w:hAnsi="Times New Roman" w:cstheme="minorBidi"/>
      <w:color w:val="FF0000"/>
      <w:kern w:val="2"/>
      <w:sz w:val="21"/>
      <w:szCs w:val="22"/>
    </w:rPr>
  </w:style>
  <w:style w:type="paragraph" w:customStyle="1" w:styleId="EmailDiscussion">
    <w:name w:val="EmailDiscussion"/>
    <w:basedOn w:val="Normal"/>
    <w:next w:val="EmailDiscussion2"/>
    <w:link w:val="EmailDiscussionChar"/>
    <w:qFormat/>
    <w:pPr>
      <w:numPr>
        <w:numId w:val="4"/>
      </w:numPr>
      <w:spacing w:before="40" w:after="0" w:line="276" w:lineRule="auto"/>
    </w:pPr>
    <w:rPr>
      <w:rFonts w:ascii="Arial" w:eastAsia="MS Mincho" w:hAnsi="Arial"/>
      <w:b/>
      <w:lang w:eastAsia="en-GB"/>
    </w:rPr>
  </w:style>
  <w:style w:type="paragraph" w:customStyle="1" w:styleId="EmailDiscussion2">
    <w:name w:val="EmailDiscussion2"/>
    <w:basedOn w:val="Doc-text2"/>
    <w:qFormat/>
    <w:pPr>
      <w:overflowPunct/>
      <w:autoSpaceDE/>
      <w:autoSpaceDN/>
      <w:adjustRightInd/>
      <w:spacing w:after="0"/>
      <w:textAlignment w:val="auto"/>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basedOn w:val="DefaultParagraphFont"/>
    <w:link w:val="Header"/>
    <w:uiPriority w:val="99"/>
    <w:qFormat/>
    <w:rPr>
      <w:rFonts w:ascii="Arial" w:hAnsi="Arial" w:cstheme="minorBidi"/>
      <w:b/>
      <w:kern w:val="2"/>
      <w:sz w:val="18"/>
      <w:szCs w:val="22"/>
      <w:lang w:val="en-GB" w:eastAsia="en-US"/>
    </w:rPr>
  </w:style>
  <w:style w:type="character" w:customStyle="1" w:styleId="FooterChar">
    <w:name w:val="Footer Char"/>
    <w:basedOn w:val="DefaultParagraphFont"/>
    <w:link w:val="Footer"/>
    <w:qFormat/>
    <w:rPr>
      <w:rFonts w:ascii="Arial" w:hAnsi="Arial" w:cstheme="minorBidi"/>
      <w:b/>
      <w:i/>
      <w:kern w:val="2"/>
      <w:sz w:val="18"/>
      <w:szCs w:val="22"/>
      <w:lang w:val="en-GB" w:eastAsia="en-US"/>
    </w:rPr>
  </w:style>
  <w:style w:type="character" w:customStyle="1" w:styleId="FootnoteTextChar">
    <w:name w:val="Footnote Text Char"/>
    <w:basedOn w:val="DefaultParagraphFont"/>
    <w:link w:val="FootnoteText"/>
    <w:qFormat/>
    <w:rPr>
      <w:rFonts w:ascii="Times New Roman" w:eastAsia="Malgun Gothic" w:hAnsi="Times New Roman" w:cstheme="minorBidi"/>
      <w:kern w:val="2"/>
      <w:sz w:val="16"/>
      <w:szCs w:val="22"/>
    </w:rPr>
  </w:style>
  <w:style w:type="paragraph" w:customStyle="1" w:styleId="Guidance">
    <w:name w:val="Guidance"/>
    <w:basedOn w:val="Normal"/>
    <w:qFormat/>
    <w:pPr>
      <w:spacing w:line="276" w:lineRule="auto"/>
    </w:pPr>
    <w:rPr>
      <w:rFonts w:eastAsia="Malgun Gothic"/>
      <w:i/>
      <w:color w:val="0000FF"/>
    </w:rPr>
  </w:style>
  <w:style w:type="character" w:customStyle="1" w:styleId="Heading2Char">
    <w:name w:val="Heading 2 Char"/>
    <w:link w:val="Heading2"/>
    <w:qFormat/>
    <w:rPr>
      <w:rFonts w:ascii="Arial" w:hAnsi="Arial" w:cstheme="minorBidi"/>
      <w:kern w:val="2"/>
      <w:sz w:val="32"/>
      <w:szCs w:val="22"/>
      <w:lang w:val="en-GB" w:eastAsia="en-US"/>
    </w:rPr>
  </w:style>
  <w:style w:type="character" w:customStyle="1" w:styleId="Heading3Char">
    <w:name w:val="Heading 3 Char"/>
    <w:link w:val="Heading3"/>
    <w:qFormat/>
    <w:rPr>
      <w:rFonts w:ascii="Arial" w:hAnsi="Arial" w:cstheme="minorBidi"/>
      <w:kern w:val="2"/>
      <w:sz w:val="28"/>
      <w:szCs w:val="22"/>
      <w:lang w:val="en-GB" w:eastAsia="en-US"/>
    </w:rPr>
  </w:style>
  <w:style w:type="character" w:customStyle="1" w:styleId="Heading4Char">
    <w:name w:val="Heading 4 Char"/>
    <w:link w:val="Heading4"/>
    <w:qFormat/>
    <w:rPr>
      <w:rFonts w:ascii="Arial" w:hAnsi="Arial" w:cstheme="minorBidi"/>
      <w:kern w:val="2"/>
      <w:sz w:val="24"/>
      <w:szCs w:val="22"/>
      <w:lang w:val="en-GB" w:eastAsia="en-US"/>
    </w:rPr>
  </w:style>
  <w:style w:type="character" w:customStyle="1" w:styleId="Heading5Char">
    <w:name w:val="Heading 5 Char"/>
    <w:basedOn w:val="DefaultParagraphFont"/>
    <w:link w:val="Heading5"/>
    <w:qFormat/>
    <w:rPr>
      <w:rFonts w:ascii="Arial" w:hAnsi="Arial" w:cstheme="minorBidi"/>
      <w:kern w:val="2"/>
      <w:sz w:val="22"/>
      <w:szCs w:val="22"/>
      <w:lang w:val="en-GB" w:eastAsia="en-US"/>
    </w:rPr>
  </w:style>
  <w:style w:type="character" w:customStyle="1" w:styleId="Heading6Char">
    <w:name w:val="Heading 6 Char"/>
    <w:basedOn w:val="DefaultParagraphFont"/>
    <w:link w:val="Heading6"/>
    <w:qFormat/>
    <w:rPr>
      <w:rFonts w:ascii="Arial" w:hAnsi="Arial" w:cstheme="minorBidi"/>
      <w:b/>
      <w:bCs/>
      <w:kern w:val="2"/>
      <w:szCs w:val="22"/>
      <w:lang w:val="en-GB" w:eastAsia="en-US"/>
    </w:rPr>
  </w:style>
  <w:style w:type="character" w:customStyle="1" w:styleId="Heading7Char">
    <w:name w:val="Heading 7 Char"/>
    <w:basedOn w:val="DefaultParagraphFont"/>
    <w:link w:val="Heading7"/>
    <w:qFormat/>
    <w:rPr>
      <w:rFonts w:ascii="Arial" w:hAnsi="Arial" w:cstheme="minorBidi"/>
      <w:b/>
      <w:bCs/>
      <w:kern w:val="2"/>
      <w:szCs w:val="22"/>
      <w:lang w:val="en-GB" w:eastAsia="en-US"/>
    </w:rPr>
  </w:style>
  <w:style w:type="character" w:customStyle="1" w:styleId="Heading8Char">
    <w:name w:val="Heading 8 Char"/>
    <w:basedOn w:val="DefaultParagraphFont"/>
    <w:link w:val="Heading8"/>
    <w:qFormat/>
    <w:rPr>
      <w:rFonts w:ascii="Arial" w:hAnsi="Arial" w:cstheme="minorBidi"/>
      <w:kern w:val="2"/>
      <w:sz w:val="36"/>
      <w:szCs w:val="22"/>
      <w:lang w:val="en-GB" w:eastAsia="en-US"/>
    </w:rPr>
  </w:style>
  <w:style w:type="character" w:customStyle="1" w:styleId="Heading9Char">
    <w:name w:val="Heading 9 Char"/>
    <w:basedOn w:val="DefaultParagraphFont"/>
    <w:link w:val="Heading9"/>
    <w:qFormat/>
    <w:rPr>
      <w:rFonts w:ascii="Arial" w:hAnsi="Arial" w:cstheme="minorBidi"/>
      <w:kern w:val="2"/>
      <w:sz w:val="36"/>
      <w:szCs w:val="22"/>
      <w:lang w:val="en-GB" w:eastAsia="en-US"/>
    </w:rPr>
  </w:style>
  <w:style w:type="paragraph" w:customStyle="1" w:styleId="LD">
    <w:name w:val="LD"/>
    <w:qFormat/>
    <w:pPr>
      <w:keepNext/>
      <w:keepLines/>
      <w:widowControl w:val="0"/>
      <w:spacing w:after="200" w:line="180" w:lineRule="exact"/>
      <w:jc w:val="both"/>
    </w:pPr>
    <w:rPr>
      <w:rFonts w:ascii="MS LineDraw" w:hAnsi="MS LineDraw" w:cstheme="minorBidi"/>
      <w:kern w:val="2"/>
      <w:sz w:val="21"/>
      <w:szCs w:val="22"/>
      <w:lang w:val="en-GB" w:eastAsia="en-US"/>
    </w:rPr>
  </w:style>
  <w:style w:type="character" w:customStyle="1" w:styleId="ListParagraphChar">
    <w:name w:val="List Paragraph Char"/>
    <w:basedOn w:val="DefaultParagraphFont"/>
    <w:link w:val="ListParagraph"/>
    <w:uiPriority w:val="34"/>
    <w:qFormat/>
    <w:locked/>
    <w:rPr>
      <w:rFonts w:ascii="Calibri" w:eastAsia="Malgun Gothic" w:hAnsi="Calibri" w:cs="Calibri"/>
      <w:kern w:val="2"/>
      <w:sz w:val="21"/>
      <w:szCs w:val="22"/>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jc w:val="both"/>
    </w:pPr>
    <w:rPr>
      <w:rFonts w:ascii="Courier New" w:hAnsi="Courier New" w:cstheme="minorBidi"/>
      <w:kern w:val="2"/>
      <w:sz w:val="16"/>
      <w:szCs w:val="22"/>
      <w:lang w:val="en-GB" w:eastAsia="en-US"/>
    </w:rPr>
  </w:style>
  <w:style w:type="character" w:customStyle="1" w:styleId="PLChar">
    <w:name w:val="PL Char"/>
    <w:link w:val="PL"/>
    <w:qFormat/>
    <w:rPr>
      <w:rFonts w:ascii="Courier New" w:hAnsi="Courier New" w:cstheme="minorBidi"/>
      <w:kern w:val="2"/>
      <w:sz w:val="16"/>
      <w:szCs w:val="22"/>
      <w:lang w:val="en-GB" w:eastAsia="en-US"/>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eastAsia="Malgun Gothic" w:hAnsi="Arial" w:cstheme="minorBidi"/>
      <w:kern w:val="2"/>
      <w:sz w:val="18"/>
      <w:szCs w:val="22"/>
    </w:rPr>
  </w:style>
  <w:style w:type="character" w:customStyle="1" w:styleId="TAHCar">
    <w:name w:val="TAH Car"/>
    <w:link w:val="TAH"/>
    <w:qFormat/>
    <w:locked/>
    <w:rPr>
      <w:rFonts w:ascii="Arial" w:eastAsia="Malgun Gothic" w:hAnsi="Arial" w:cstheme="minorBidi"/>
      <w:b/>
      <w:kern w:val="2"/>
      <w:sz w:val="18"/>
      <w:szCs w:val="22"/>
    </w:rPr>
  </w:style>
  <w:style w:type="character" w:customStyle="1" w:styleId="THChar">
    <w:name w:val="TH Char"/>
    <w:link w:val="TH"/>
    <w:qFormat/>
    <w:rPr>
      <w:rFonts w:ascii="Arial" w:eastAsia="Malgun Gothic" w:hAnsi="Arial" w:cstheme="minorBidi"/>
      <w:b/>
      <w:kern w:val="2"/>
      <w:sz w:val="21"/>
      <w:szCs w:val="22"/>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eastAsia="Malgun Gothic" w:hAnsi="Arial" w:cstheme="minorBidi"/>
      <w:b/>
      <w:kern w:val="2"/>
      <w:sz w:val="21"/>
      <w:szCs w:val="22"/>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kern w:val="2"/>
      <w:sz w:val="22"/>
      <w:szCs w:val="22"/>
      <w:lang w:val="en-GB" w:eastAsia="en-US"/>
      <w14:ligatures w14:val="standardContextual"/>
    </w:rPr>
  </w:style>
  <w:style w:type="paragraph" w:customStyle="1" w:styleId="Agreement">
    <w:name w:val="Agreement"/>
    <w:basedOn w:val="Normal"/>
    <w:next w:val="Doc-text2"/>
    <w:uiPriority w:val="99"/>
    <w:qFormat/>
    <w:pPr>
      <w:numPr>
        <w:numId w:val="5"/>
      </w:numPr>
      <w:spacing w:before="60" w:after="0" w:line="276" w:lineRule="auto"/>
    </w:pPr>
    <w:rPr>
      <w:rFonts w:ascii="Arial" w:eastAsia="MS Mincho" w:hAnsi="Arial"/>
      <w:b/>
      <w:lang w:eastAsia="en-GB"/>
    </w:rPr>
  </w:style>
  <w:style w:type="character" w:customStyle="1" w:styleId="TitleChar">
    <w:name w:val="Title Char"/>
    <w:basedOn w:val="DefaultParagraphFont"/>
    <w:link w:val="Title"/>
    <w:uiPriority w:val="10"/>
    <w:qFormat/>
    <w:rPr>
      <w:rFonts w:ascii="Arial" w:hAnsi="Arial" w:cs="Arial"/>
      <w:b/>
      <w:bCs/>
      <w:kern w:val="28"/>
      <w:lang w:eastAsia="en-US"/>
    </w:rPr>
  </w:style>
  <w:style w:type="character" w:customStyle="1" w:styleId="B1Char">
    <w:name w:val="B1 Char"/>
    <w:link w:val="B1"/>
    <w:qFormat/>
    <w:rPr>
      <w:rFonts w:ascii="Times New Roman" w:eastAsia="Malgun Gothic" w:hAnsi="Times New Roman" w:cstheme="minorBidi"/>
      <w:kern w:val="2"/>
      <w:sz w:val="21"/>
      <w:szCs w:val="22"/>
    </w:rPr>
  </w:style>
  <w:style w:type="character" w:customStyle="1" w:styleId="normaltextrun">
    <w:name w:val="normaltextrun"/>
    <w:basedOn w:val="DefaultParagraphFont"/>
    <w:qFormat/>
  </w:style>
  <w:style w:type="character" w:customStyle="1" w:styleId="EmailDiscussionChar">
    <w:name w:val="EmailDiscussion Char"/>
    <w:link w:val="EmailDiscussion"/>
    <w:qFormat/>
    <w:rPr>
      <w:rFonts w:ascii="Arial" w:eastAsia="MS Mincho" w:hAnsi="Arial" w:cstheme="minorBidi"/>
      <w:b/>
      <w:kern w:val="2"/>
      <w:sz w:val="21"/>
      <w:szCs w:val="24"/>
      <w:lang w:eastAsia="en-GB"/>
    </w:rPr>
  </w:style>
  <w:style w:type="character" w:customStyle="1" w:styleId="TACChar">
    <w:name w:val="TAC Char"/>
    <w:link w:val="TAC"/>
    <w:qFormat/>
    <w:rPr>
      <w:rFonts w:ascii="Arial" w:eastAsia="Malgun Gothic" w:hAnsi="Arial" w:cstheme="minorBidi"/>
      <w:kern w:val="2"/>
      <w:sz w:val="18"/>
      <w:szCs w:val="22"/>
    </w:rPr>
  </w:style>
  <w:style w:type="paragraph" w:customStyle="1" w:styleId="tdoc-header">
    <w:name w:val="tdoc-header"/>
    <w:qFormat/>
    <w:pPr>
      <w:widowControl w:val="0"/>
      <w:spacing w:after="200" w:line="276" w:lineRule="auto"/>
      <w:jc w:val="both"/>
    </w:pPr>
    <w:rPr>
      <w:rFonts w:ascii="Arial" w:hAnsi="Arial" w:cstheme="minorBidi"/>
      <w:kern w:val="2"/>
      <w:sz w:val="24"/>
      <w:szCs w:val="22"/>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paragraph" w:customStyle="1" w:styleId="Doc-title">
    <w:name w:val="Doc-title"/>
    <w:basedOn w:val="Normal"/>
    <w:next w:val="Doc-text2"/>
    <w:link w:val="Doc-titleChar"/>
    <w:qFormat/>
    <w:pPr>
      <w:spacing w:before="60" w:after="0" w:line="276" w:lineRule="auto"/>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cstheme="minorBidi"/>
      <w:kern w:val="2"/>
      <w:sz w:val="21"/>
      <w:szCs w:val="24"/>
      <w:lang w:eastAsia="en-GB"/>
    </w:rPr>
  </w:style>
  <w:style w:type="character" w:customStyle="1" w:styleId="B3Char">
    <w:name w:val="B3 Char"/>
    <w:qFormat/>
    <w:rPr>
      <w:rFonts w:ascii="Times New Roman" w:hAnsi="Times New Roman"/>
      <w:lang w:val="en-GB" w:eastAsia="en-US"/>
    </w:rPr>
  </w:style>
  <w:style w:type="character" w:customStyle="1" w:styleId="ProposalChar">
    <w:name w:val="Proposal Char"/>
    <w:link w:val="Proposal"/>
    <w:qFormat/>
    <w:rPr>
      <w:rFonts w:ascii="Arial" w:eastAsia="SimSun" w:hAnsi="Arial" w:cstheme="minorBidi"/>
      <w:b/>
      <w:bCs/>
      <w:kern w:val="2"/>
      <w:sz w:val="21"/>
      <w:szCs w:val="22"/>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
    <w:name w:val="批注文字 字符1"/>
    <w:uiPriority w:val="99"/>
    <w:qFormat/>
    <w:rPr>
      <w:rFonts w:eastAsia="Times New Roman"/>
      <w:szCs w:val="24"/>
      <w:lang w:eastAsia="en-US"/>
    </w:rPr>
  </w:style>
  <w:style w:type="character" w:customStyle="1" w:styleId="10">
    <w:name w:val="列表段落 字符1"/>
    <w:uiPriority w:val="34"/>
    <w:qFormat/>
    <w:rPr>
      <w:lang w:eastAsia="en-US"/>
    </w:rPr>
  </w:style>
  <w:style w:type="paragraph" w:customStyle="1" w:styleId="Comments">
    <w:name w:val="Comments"/>
    <w:basedOn w:val="Normal"/>
    <w:link w:val="CommentsChar"/>
    <w:qFormat/>
    <w:pPr>
      <w:spacing w:before="40" w:after="0" w:line="276" w:lineRule="auto"/>
    </w:pPr>
    <w:rPr>
      <w:rFonts w:ascii="Arial" w:eastAsia="MS Mincho" w:hAnsi="Arial"/>
      <w:i/>
      <w:sz w:val="18"/>
      <w:lang w:eastAsia="en-GB"/>
    </w:rPr>
  </w:style>
  <w:style w:type="character" w:customStyle="1" w:styleId="CommentsChar">
    <w:name w:val="Comments Char"/>
    <w:link w:val="Comments"/>
    <w:qFormat/>
    <w:rPr>
      <w:rFonts w:ascii="Arial" w:eastAsia="MS Mincho" w:hAnsi="Arial" w:cstheme="minorBidi"/>
      <w:i/>
      <w:kern w:val="2"/>
      <w:sz w:val="18"/>
      <w:szCs w:val="24"/>
      <w:lang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lang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Normal"/>
    <w:link w:val="0MaintextChar"/>
    <w:qFormat/>
    <w:pPr>
      <w:spacing w:before="120" w:after="100" w:afterAutospacing="1" w:line="288" w:lineRule="auto"/>
      <w:ind w:right="-101" w:firstLine="360"/>
    </w:pPr>
    <w:rPr>
      <w:rFonts w:ascii="Arial" w:eastAsia="Malgun Gothic" w:hAnsi="Arial" w:cs="Batang"/>
      <w:bCs/>
      <w:szCs w:val="32"/>
    </w:rPr>
  </w:style>
  <w:style w:type="character" w:customStyle="1" w:styleId="0MaintextChar">
    <w:name w:val="0 Main text Char"/>
    <w:link w:val="0Maintext"/>
    <w:qFormat/>
    <w:rPr>
      <w:rFonts w:ascii="Arial" w:eastAsia="Malgun Gothic" w:hAnsi="Arial" w:cs="Batang"/>
      <w:bCs/>
      <w:kern w:val="2"/>
      <w:sz w:val="21"/>
      <w:szCs w:val="32"/>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pPr>
    <w:rPr>
      <w:rFonts w:ascii="SimSun" w:eastAsia="SimSun" w:hAnsi="SimSun" w:cs="SimSun"/>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lang w:eastAsia="en-US"/>
    </w:rPr>
  </w:style>
  <w:style w:type="character" w:customStyle="1" w:styleId="IvDbodytextChar">
    <w:name w:val="IvD bodytext Char"/>
    <w:link w:val="IvDbodytext"/>
    <w:locked/>
    <w:rPr>
      <w:rFonts w:ascii="Arial" w:eastAsia="Malgun Gothic" w:hAnsi="Arial" w:cs="Arial"/>
      <w:spacing w:val="2"/>
      <w:kern w:val="2"/>
      <w:sz w:val="21"/>
      <w:szCs w:val="22"/>
      <w:lang w:eastAsia="en-US"/>
    </w:rPr>
  </w:style>
  <w:style w:type="character" w:customStyle="1" w:styleId="NOChar1">
    <w:name w:val="NO Char1"/>
    <w:qFormat/>
    <w:locked/>
  </w:style>
  <w:style w:type="character" w:customStyle="1" w:styleId="ObservationChar">
    <w:name w:val="Observation Char"/>
    <w:link w:val="Observation"/>
    <w:qFormat/>
    <w:rPr>
      <w:rFonts w:ascii="Arial" w:eastAsia="SimSun" w:hAnsi="Arial" w:cstheme="minorBidi"/>
      <w:b/>
      <w:bCs/>
      <w:kern w:val="2"/>
      <w:sz w:val="21"/>
      <w:szCs w:val="22"/>
      <w:lang w:eastAsia="ja-JP"/>
    </w:rPr>
  </w:style>
  <w:style w:type="paragraph" w:customStyle="1" w:styleId="Editorsnote0">
    <w:name w:val="Editor´s note"/>
    <w:basedOn w:val="List5"/>
    <w:next w:val="EditorsNote"/>
    <w:link w:val="EditorsnoteChar0"/>
    <w:qFormat/>
    <w:pPr>
      <w:overflowPunct w:val="0"/>
      <w:autoSpaceDE w:val="0"/>
      <w:autoSpaceDN w:val="0"/>
      <w:adjustRightInd w:val="0"/>
      <w:spacing w:line="240" w:lineRule="auto"/>
      <w:textAlignment w:val="baseline"/>
    </w:pPr>
    <w:rPr>
      <w:rFonts w:eastAsia="Times New Roman" w:cs="Times New Roman"/>
      <w:kern w:val="0"/>
      <w:sz w:val="20"/>
      <w:szCs w:val="20"/>
      <w:lang w:val="en-GB"/>
    </w:rPr>
  </w:style>
  <w:style w:type="character" w:customStyle="1" w:styleId="EditorsnoteChar0">
    <w:name w:val="Editor´s note Char"/>
    <w:link w:val="Editorsnote0"/>
    <w:qFormat/>
    <w:rPr>
      <w:rFonts w:ascii="Times New Roman" w:eastAsia="Times New Roman" w:hAnsi="Times New Roman"/>
      <w:lang w:val="en-GB"/>
    </w:rPr>
  </w:style>
  <w:style w:type="paragraph" w:styleId="Revision">
    <w:name w:val="Revision"/>
    <w:hidden/>
    <w:uiPriority w:val="99"/>
    <w:unhideWhenUsed/>
    <w:rsid w:val="00414792"/>
    <w:rPr>
      <w:rFonts w:asciiTheme="minorHAnsi" w:eastAsiaTheme="minorHAnsi" w:hAnsiTheme="minorHAnsi" w:cstheme="minorBidi"/>
      <w:kern w:val="2"/>
      <w:sz w:val="22"/>
      <w:szCs w:val="22"/>
      <w:lang w:val="en-S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62775F-D6BA-44B7-BEE8-D0EECDFAA33C}">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9</Pages>
  <Words>2665</Words>
  <Characters>15195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Xingqin</dc:creator>
  <cp:keywords>3GPP; Ericsson; TDoc</cp:keywords>
  <cp:lastModifiedBy>Ericsson - Ignacio</cp:lastModifiedBy>
  <cp:revision>137</cp:revision>
  <cp:lastPrinted>2008-02-01T20:09:00Z</cp:lastPrinted>
  <dcterms:created xsi:type="dcterms:W3CDTF">2025-04-30T07:00:00Z</dcterms:created>
  <dcterms:modified xsi:type="dcterms:W3CDTF">2025-08-14T15:54:00Z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y fmtid="{D5CDD505-2E9C-101B-9397-08002B2CF9AE}" pid="5" name="CWM6ba09e40255d11f08000595b0000595b">
    <vt:lpwstr>CWMyuQJZyWOL3iQjag9PfLBRU+fvpmFynEAUq2ZbMvDvFQe7W9THh8uVRDDgfX3UGpeFJLT5nCfdIyF/D/GQPb+cw==</vt:lpwstr>
  </property>
  <property fmtid="{D5CDD505-2E9C-101B-9397-08002B2CF9AE}" pid="6" name="CWM75753150256311f080006f5f00006f5f">
    <vt:lpwstr>CWMrBnzwibgiarE3/UD3FG6v5SQh3Jeb7JJ/tOtGJoWdlECUF6IlljKoC9n1p9Dquc8imG0aZKP/YSkKmULMXqelw==</vt:lpwstr>
  </property>
  <property fmtid="{D5CDD505-2E9C-101B-9397-08002B2CF9AE}" pid="7" name="CWMee093c80256611f08000595b0000595b">
    <vt:lpwstr>CWMyuQJZyWOL3iQjag9PfLBRU+fvpmFynEAUq2ZbMvDvFRR72QFsElixQwjhYd/c1mMJh+qYWpFV6/LucngMKrIOA==</vt:lpwstr>
  </property>
  <property fmtid="{D5CDD505-2E9C-101B-9397-08002B2CF9AE}" pid="8" name="MSIP_Label_a7295cc1-d279-42ac-ab4d-3b0f4fece050_Enabled">
    <vt:lpwstr>true</vt:lpwstr>
  </property>
  <property fmtid="{D5CDD505-2E9C-101B-9397-08002B2CF9AE}" pid="9" name="MSIP_Label_a7295cc1-d279-42ac-ab4d-3b0f4fece050_SetDate">
    <vt:lpwstr>2025-04-30T07:00:51Z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90394de2-169d-4a88-8311-94aa24650090</vt:lpwstr>
  </property>
  <property fmtid="{D5CDD505-2E9C-101B-9397-08002B2CF9AE}" pid="14" name="MSIP_Label_a7295cc1-d279-42ac-ab4d-3b0f4fece050_ContentBits">
    <vt:lpwstr>0</vt:lpwstr>
  </property>
  <property fmtid="{D5CDD505-2E9C-101B-9397-08002B2CF9AE}" pid="15" name="MSIP_Label_a7295cc1-d279-42ac-ab4d-3b0f4fece050_Tag">
    <vt:lpwstr>10, 3, 0, 1</vt:lpwstr>
  </property>
  <property fmtid="{D5CDD505-2E9C-101B-9397-08002B2CF9AE}" pid="16" name="KSOProductBuildVer">
    <vt:lpwstr>2052-12.8.2.21549</vt:lpwstr>
  </property>
  <property fmtid="{D5CDD505-2E9C-101B-9397-08002B2CF9AE}" pid="17" name="ICV">
    <vt:lpwstr>3BA70A93921B4C6CACB67EDC9B9BD5B2_13</vt:lpwstr>
  </property>
</Properties>
</file>